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b/>
        </w:rPr>
        <w:t>Editable Client-to-Party-Plan Skill Blueprint</w:t>
      </w:r>
    </w:p>
    <w:p>
      <w:pPr>
        <w:spacing w:after="200"/>
      </w:pPr>
      <w:r>
        <w:t>Platform-neutral workflow template for solo and very small party-planning businesses</w:t>
      </w:r>
    </w:p>
    <w:p>
      <w:pPr>
        <w:pStyle w:val="Callout"/>
        <w:ind w:left="216"/>
      </w:pPr>
      <w:r>
        <w:t>Core rule: Automate organization. Preserve planner judgment.</w:t>
      </w:r>
    </w:p>
    <w:p>
      <w:r>
        <w:t>How to use this file. Keep the tested rules intact. Edit the business-specific fields so the workflow matches your intake standards, scope, terminology, and review process. This editable file makes the method taught in the book easier to customize; it does not replace the book.</w:t>
      </w:r>
    </w:p>
    <w:p>
      <w:pPr>
        <w:pStyle w:val="Heading1"/>
      </w:pPr>
      <w:r>
        <w:t>1. Skill identity</w:t>
      </w:r>
    </w:p>
    <w:tbl>
      <w:tblPr>
        <w:tblStyle w:val="TableGrid"/>
        <w:tblW w:type="auto" w:w="0"/>
        <w:jc w:val="center"/>
        <w:tblLook w:firstColumn="1" w:firstRow="1" w:lastColumn="0" w:lastRow="0" w:noHBand="0" w:noVBand="1" w:val="04A0"/>
      </w:tblPr>
      <w:tblGrid>
        <w:gridCol w:w="5112"/>
        <w:gridCol w:w="5112"/>
      </w:tblGrid>
      <w:tr>
        <w:trPr>
          <w:tblHeader w:val="true"/>
        </w:trPr>
        <w:tc>
          <w:tcPr>
            <w:tcW w:type="dxa" w:w="5112"/>
            <w:shd w:fill="17364D"/>
          </w:tcPr>
          <w:p>
            <w:r>
              <w:rPr>
                <w:b/>
                <w:color w:val="FFFFFF"/>
              </w:rPr>
              <w:t>Field</w:t>
            </w:r>
          </w:p>
        </w:tc>
        <w:tc>
          <w:tcPr>
            <w:tcW w:type="dxa" w:w="5112"/>
            <w:shd w:fill="17364D"/>
          </w:tcPr>
          <w:p>
            <w:r>
              <w:rPr>
                <w:b/>
                <w:color w:val="FFFFFF"/>
              </w:rPr>
              <w:t>Editable value / default</w:t>
            </w:r>
          </w:p>
        </w:tc>
      </w:tr>
      <w:tr>
        <w:tc>
          <w:tcPr>
            <w:tcW w:type="dxa" w:w="5112"/>
            <w:vAlign w:val="top"/>
            <w:tcMar>
              <w:top w:w="80" w:type="dxa"/>
              <w:start w:w="90" w:type="dxa"/>
              <w:bottom w:w="80" w:type="dxa"/>
              <w:end w:w="90" w:type="dxa"/>
            </w:tcMar>
          </w:tcPr>
          <w:p>
            <w:r>
              <w:t>Skill name</w:t>
            </w:r>
          </w:p>
        </w:tc>
        <w:tc>
          <w:tcPr>
            <w:tcW w:type="dxa" w:w="5112"/>
            <w:vAlign w:val="top"/>
            <w:tcMar>
              <w:top w:w="80" w:type="dxa"/>
              <w:start w:w="90" w:type="dxa"/>
              <w:bottom w:w="80" w:type="dxa"/>
              <w:end w:w="90" w:type="dxa"/>
            </w:tcMar>
          </w:tcPr>
          <w:p>
            <w:r>
              <w:t>Client-to-Party-Plan</w:t>
            </w:r>
          </w:p>
        </w:tc>
      </w:tr>
      <w:tr>
        <w:tc>
          <w:tcPr>
            <w:tcW w:type="dxa" w:w="5112"/>
            <w:vAlign w:val="top"/>
            <w:tcMar>
              <w:top w:w="80" w:type="dxa"/>
              <w:start w:w="90" w:type="dxa"/>
              <w:bottom w:w="80" w:type="dxa"/>
              <w:end w:w="90" w:type="dxa"/>
            </w:tcMar>
          </w:tcPr>
          <w:p>
            <w:r>
              <w:t>Purpose</w:t>
            </w:r>
          </w:p>
        </w:tc>
        <w:tc>
          <w:tcPr>
            <w:tcW w:type="dxa" w:w="5112"/>
            <w:vAlign w:val="top"/>
            <w:tcMar>
              <w:top w:w="80" w:type="dxa"/>
              <w:start w:w="90" w:type="dxa"/>
              <w:bottom w:w="80" w:type="dxa"/>
              <w:end w:w="90" w:type="dxa"/>
            </w:tcMar>
          </w:tcPr>
          <w:p>
            <w:r>
              <w:t>Turn scattered client intake into one structured, source-aware, planner-reviewed planning brief.</w:t>
            </w:r>
          </w:p>
        </w:tc>
      </w:tr>
      <w:tr>
        <w:tc>
          <w:tcPr>
            <w:tcW w:type="dxa" w:w="5112"/>
            <w:vAlign w:val="top"/>
            <w:tcMar>
              <w:top w:w="80" w:type="dxa"/>
              <w:start w:w="90" w:type="dxa"/>
              <w:bottom w:w="80" w:type="dxa"/>
              <w:end w:w="90" w:type="dxa"/>
            </w:tcMar>
          </w:tcPr>
          <w:p>
            <w:r>
              <w:t>Primary user</w:t>
            </w:r>
          </w:p>
        </w:tc>
        <w:tc>
          <w:tcPr>
            <w:tcW w:type="dxa" w:w="5112"/>
            <w:vAlign w:val="top"/>
            <w:tcMar>
              <w:top w:w="80" w:type="dxa"/>
              <w:start w:w="90" w:type="dxa"/>
              <w:bottom w:w="80" w:type="dxa"/>
              <w:end w:w="90" w:type="dxa"/>
            </w:tcMar>
          </w:tcPr>
          <w:p>
            <w:r>
              <w:t>Solo or very small party-planning business owner handling private celebrations and client intake personally.</w:t>
            </w:r>
          </w:p>
        </w:tc>
      </w:tr>
      <w:tr>
        <w:tc>
          <w:tcPr>
            <w:tcW w:type="dxa" w:w="5112"/>
            <w:vAlign w:val="top"/>
            <w:tcMar>
              <w:top w:w="80" w:type="dxa"/>
              <w:start w:w="90" w:type="dxa"/>
              <w:bottom w:w="80" w:type="dxa"/>
              <w:end w:w="90" w:type="dxa"/>
            </w:tcMar>
          </w:tcPr>
          <w:p>
            <w:r>
              <w:t>Your business / niche</w:t>
            </w:r>
          </w:p>
        </w:tc>
        <w:tc>
          <w:tcPr>
            <w:tcW w:type="dxa" w:w="5112"/>
            <w:vAlign w:val="top"/>
            <w:tcMar>
              <w:top w:w="80" w:type="dxa"/>
              <w:start w:w="90" w:type="dxa"/>
              <w:bottom w:w="80" w:type="dxa"/>
              <w:end w:w="90" w:type="dxa"/>
            </w:tcMar>
          </w:tcPr>
          <w:p>
            <w:r>
              <w:t>[Edit: describe your planning business or event niche.]</w:t>
            </w:r>
          </w:p>
        </w:tc>
      </w:tr>
      <w:tr>
        <w:tc>
          <w:tcPr>
            <w:tcW w:type="dxa" w:w="5112"/>
            <w:vAlign w:val="top"/>
            <w:tcMar>
              <w:top w:w="80" w:type="dxa"/>
              <w:start w:w="90" w:type="dxa"/>
              <w:bottom w:w="80" w:type="dxa"/>
              <w:end w:w="90" w:type="dxa"/>
            </w:tcMar>
          </w:tcPr>
          <w:p>
            <w:r>
              <w:t>Your trigger</w:t>
            </w:r>
          </w:p>
        </w:tc>
        <w:tc>
          <w:tcPr>
            <w:tcW w:type="dxa" w:w="5112"/>
            <w:vAlign w:val="top"/>
            <w:tcMar>
              <w:top w:w="80" w:type="dxa"/>
              <w:start w:w="90" w:type="dxa"/>
              <w:bottom w:w="80" w:type="dxa"/>
              <w:end w:w="90" w:type="dxa"/>
            </w:tcMar>
          </w:tcPr>
          <w:p>
            <w:r>
              <w:t>[Edit: when should this workflow run in your business?]</w:t>
            </w:r>
          </w:p>
        </w:tc>
      </w:tr>
      <w:tr>
        <w:tc>
          <w:tcPr>
            <w:tcW w:type="dxa" w:w="5112"/>
            <w:vAlign w:val="top"/>
            <w:tcMar>
              <w:top w:w="80" w:type="dxa"/>
              <w:start w:w="90" w:type="dxa"/>
              <w:bottom w:w="80" w:type="dxa"/>
              <w:end w:w="90" w:type="dxa"/>
            </w:tcMar>
          </w:tcPr>
          <w:p>
            <w:r>
              <w:t>Your next intended internal step</w:t>
            </w:r>
          </w:p>
        </w:tc>
        <w:tc>
          <w:tcPr>
            <w:tcW w:type="dxa" w:w="5112"/>
            <w:vAlign w:val="top"/>
            <w:tcMar>
              <w:top w:w="80" w:type="dxa"/>
              <w:start w:w="90" w:type="dxa"/>
              <w:bottom w:w="80" w:type="dxa"/>
              <w:end w:w="90" w:type="dxa"/>
            </w:tcMar>
          </w:tcPr>
          <w:p>
            <w:r>
              <w:t>[Edit: discovery follow-up, scoping, internal handoff, brief refresh, etc.]</w:t>
            </w:r>
          </w:p>
        </w:tc>
      </w:tr>
    </w:tbl>
    <w:p>
      <w:pPr>
        <w:pStyle w:val="Heading1"/>
      </w:pPr>
      <w:r>
        <w:t>2. Inputs</w:t>
      </w:r>
    </w:p>
    <w:p>
      <w:pPr>
        <w:pStyle w:val="Heading2"/>
      </w:pPr>
      <w:r>
        <w:t>Client-supplied information</w:t>
      </w:r>
    </w:p>
    <w:p>
      <w:pPr>
        <w:pStyle w:val="ListBullet"/>
        <w:spacing w:after="40"/>
      </w:pPr>
      <w:r>
        <w:t>event type / occasion and purpose or desired experience;</w:t>
      </w:r>
    </w:p>
    <w:p>
      <w:pPr>
        <w:pStyle w:val="ListBullet"/>
        <w:spacing w:after="40"/>
      </w:pPr>
      <w:r>
        <w:t>client / decision-maker names;</w:t>
      </w:r>
    </w:p>
    <w:p>
      <w:pPr>
        <w:pStyle w:val="ListBullet"/>
        <w:spacing w:after="40"/>
      </w:pPr>
      <w:r>
        <w:t>date or date window; guest-count estimate or final count;</w:t>
      </w:r>
    </w:p>
    <w:p>
      <w:pPr>
        <w:pStyle w:val="ListBullet"/>
        <w:spacing w:after="40"/>
      </w:pPr>
      <w:r>
        <w:t>venue / location and venue status;</w:t>
      </w:r>
    </w:p>
    <w:p>
      <w:pPr>
        <w:pStyle w:val="ListBullet"/>
        <w:spacing w:after="40"/>
      </w:pPr>
      <w:r>
        <w:t>budget, budget range, or stated uncertainty;</w:t>
      </w:r>
    </w:p>
    <w:p>
      <w:pPr>
        <w:pStyle w:val="ListBullet"/>
        <w:spacing w:after="40"/>
      </w:pPr>
      <w:r>
        <w:t>requested planning, decor, or coordination services;</w:t>
      </w:r>
    </w:p>
    <w:p>
      <w:pPr>
        <w:pStyle w:val="ListBullet"/>
        <w:spacing w:after="40"/>
      </w:pPr>
      <w:r>
        <w:t>theme, colors, mood, style, dislikes, inspiration, priorities, and must-haves;</w:t>
      </w:r>
    </w:p>
    <w:p>
      <w:pPr>
        <w:pStyle w:val="ListBullet"/>
        <w:spacing w:after="40"/>
      </w:pPr>
      <w:r>
        <w:t>accessibility, dietary, family, cultural, or logistical considerations supplied by the client;</w:t>
      </w:r>
    </w:p>
    <w:p>
      <w:pPr>
        <w:pStyle w:val="ListBullet"/>
        <w:spacing w:after="40"/>
      </w:pPr>
      <w:r>
        <w:t>known or booked vendors; setup, access, and event times;</w:t>
      </w:r>
    </w:p>
    <w:p>
      <w:pPr>
        <w:pStyle w:val="ListBullet"/>
        <w:spacing w:after="40"/>
      </w:pPr>
      <w:r>
        <w:t>corrections, additions, and follow-up answers.</w:t>
      </w:r>
    </w:p>
    <w:p>
      <w:pPr>
        <w:pStyle w:val="Heading2"/>
      </w:pPr>
      <w:r>
        <w:t>Planner-owned business context</w:t>
      </w:r>
    </w:p>
    <w:p>
      <w:pPr>
        <w:pStyle w:val="ListBullet"/>
        <w:spacing w:after="40"/>
      </w:pPr>
      <w:r>
        <w:t>service scope and packages;</w:t>
      </w:r>
    </w:p>
    <w:p>
      <w:pPr>
        <w:pStyle w:val="ListBullet"/>
        <w:spacing w:after="40"/>
      </w:pPr>
      <w:r>
        <w:t>intake requirements;</w:t>
      </w:r>
    </w:p>
    <w:p>
      <w:pPr>
        <w:pStyle w:val="ListBullet"/>
        <w:spacing w:after="40"/>
      </w:pPr>
      <w:r>
        <w:t>business policies;</w:t>
      </w:r>
    </w:p>
    <w:p>
      <w:pPr>
        <w:pStyle w:val="ListBullet"/>
        <w:spacing w:after="40"/>
      </w:pPr>
      <w:r>
        <w:t>working budget rules or category framework;</w:t>
      </w:r>
    </w:p>
    <w:p>
      <w:pPr>
        <w:pStyle w:val="ListBullet"/>
        <w:spacing w:after="40"/>
      </w:pPr>
      <w:r>
        <w:t>known venue/vendor requirements;</w:t>
      </w:r>
    </w:p>
    <w:p>
      <w:pPr>
        <w:pStyle w:val="ListBullet"/>
        <w:spacing w:after="40"/>
      </w:pPr>
      <w:r>
        <w:t>planning terminology;</w:t>
      </w:r>
    </w:p>
    <w:p>
      <w:pPr>
        <w:pStyle w:val="ListBullet"/>
        <w:spacing w:after="40"/>
      </w:pPr>
      <w:r>
        <w:t>internal review checklist;</w:t>
      </w:r>
    </w:p>
    <w:p>
      <w:pPr>
        <w:pStyle w:val="ListBullet"/>
        <w:spacing w:after="40"/>
      </w:pPr>
      <w:r>
        <w:t>standard planning-brief structure;</w:t>
      </w:r>
    </w:p>
    <w:p>
      <w:pPr>
        <w:pStyle w:val="ListBullet"/>
        <w:spacing w:after="40"/>
      </w:pPr>
      <w:r>
        <w:t>escalation and approval rules.</w:t>
      </w:r>
    </w:p>
    <w:p>
      <w:pPr>
        <w:pStyle w:val="Heading2"/>
      </w:pPr>
      <w:r>
        <w:t>Source types</w:t>
      </w:r>
    </w:p>
    <w:p>
      <w:pPr>
        <w:pStyle w:val="ListBullet"/>
        <w:spacing w:after="40"/>
      </w:pPr>
      <w:r>
        <w:t>intake form;</w:t>
      </w:r>
    </w:p>
    <w:p>
      <w:pPr>
        <w:pStyle w:val="ListBullet"/>
        <w:spacing w:after="40"/>
      </w:pPr>
      <w:r>
        <w:t>email;</w:t>
      </w:r>
    </w:p>
    <w:p>
      <w:pPr>
        <w:pStyle w:val="ListBullet"/>
        <w:spacing w:after="40"/>
      </w:pPr>
      <w:r>
        <w:t>text or DM transcript;</w:t>
      </w:r>
    </w:p>
    <w:p>
      <w:pPr>
        <w:pStyle w:val="ListBullet"/>
        <w:spacing w:after="40"/>
      </w:pPr>
      <w:r>
        <w:t>discovery-call notes or transcript;</w:t>
      </w:r>
    </w:p>
    <w:p>
      <w:pPr>
        <w:pStyle w:val="ListBullet"/>
        <w:spacing w:after="40"/>
      </w:pPr>
      <w:r>
        <w:t>planner notes;</w:t>
      </w:r>
    </w:p>
    <w:p>
      <w:pPr>
        <w:pStyle w:val="ListBullet"/>
        <w:spacing w:after="40"/>
      </w:pPr>
      <w:r>
        <w:t>inspiration images or links;</w:t>
      </w:r>
    </w:p>
    <w:p>
      <w:pPr>
        <w:pStyle w:val="ListBullet"/>
        <w:spacing w:after="40"/>
      </w:pPr>
      <w:r>
        <w:t>client-provided documents;</w:t>
      </w:r>
    </w:p>
    <w:p>
      <w:pPr>
        <w:pStyle w:val="ListBullet"/>
        <w:spacing w:after="40"/>
      </w:pPr>
      <w:r>
        <w:t>venue/vendor documents supplied for the event.</w:t>
      </w:r>
    </w:p>
    <w:p>
      <w:pPr>
        <w:pStyle w:val="Callout"/>
        <w:ind w:left="216"/>
      </w:pPr>
      <w:r>
        <w:t>Preserve a source label for each meaningful extracted item where practical.</w:t>
      </w:r>
    </w:p>
    <w:p>
      <w:pPr>
        <w:pStyle w:val="Heading1"/>
      </w:pPr>
      <w:r>
        <w:t>3. Required knowledge</w:t>
      </w:r>
    </w:p>
    <w:p>
      <w:pPr>
        <w:pStyle w:val="ListNumber"/>
        <w:spacing w:after="40"/>
      </w:pPr>
      <w:r>
        <w:t>Planner intake standard - required, preferred, and optional intake fields.</w:t>
      </w:r>
    </w:p>
    <w:p>
      <w:pPr>
        <w:pStyle w:val="ListNumber"/>
        <w:spacing w:after="40"/>
      </w:pPr>
      <w:r>
        <w:t>Service-scope rules - what your business does and does not provide.</w:t>
      </w:r>
    </w:p>
    <w:p>
      <w:pPr>
        <w:pStyle w:val="ListNumber"/>
        <w:spacing w:after="40"/>
      </w:pPr>
      <w:r>
        <w:t>Budget handling rules - how budgets, estimates, quotes, and commitments are labeled.</w:t>
      </w:r>
    </w:p>
    <w:p>
      <w:pPr>
        <w:pStyle w:val="ListNumber"/>
        <w:spacing w:after="40"/>
      </w:pPr>
      <w:r>
        <w:t>Source-handling rules - how corrections, third-party messages, and planner notes are treated.</w:t>
      </w:r>
    </w:p>
    <w:p>
      <w:pPr>
        <w:pStyle w:val="ListNumber"/>
        <w:spacing w:after="40"/>
      </w:pPr>
      <w:r>
        <w:t>Planning-brief template - your required output sections.</w:t>
      </w:r>
    </w:p>
    <w:p>
      <w:pPr>
        <w:pStyle w:val="ListNumber"/>
        <w:spacing w:after="40"/>
      </w:pPr>
      <w:r>
        <w:t>Human approval map - what may be organized versus what you must decide.</w:t>
      </w:r>
    </w:p>
    <w:p>
      <w:pPr>
        <w:pStyle w:val="ListNumber"/>
        <w:spacing w:after="40"/>
      </w:pPr>
      <w:r>
        <w:t>Privacy / data-minimization practice - use only client information needed for the planning task.</w:t>
      </w:r>
    </w:p>
    <w:p>
      <w:pPr>
        <w:pStyle w:val="ListNumber"/>
        <w:spacing w:after="40"/>
      </w:pPr>
      <w:r>
        <w:t>Business-specific terminology / examples - optional examples showing your preferred level of detail.</w:t>
      </w:r>
    </w:p>
    <w:p>
      <w:r>
        <w:rPr>
          <w:b/>
        </w:rPr>
        <w:t xml:space="preserve">Configuration gaps stay visible. </w:t>
      </w:r>
      <w:r>
        <w:t>If a business rule is missing, surface that gap instead of inventing the rule.</w:t>
      </w:r>
    </w:p>
    <w:p>
      <w:pPr>
        <w:pStyle w:val="Heading1"/>
      </w:pPr>
      <w:r>
        <w:t>4. Information-state system</w:t>
      </w:r>
    </w:p>
    <w:tbl>
      <w:tblPr>
        <w:tblStyle w:val="TableGrid"/>
        <w:tblW w:type="auto" w:w="0"/>
        <w:jc w:val="center"/>
        <w:tblLook w:firstColumn="1" w:firstRow="1" w:lastColumn="0" w:lastRow="0" w:noHBand="0" w:noVBand="1" w:val="04A0"/>
      </w:tblPr>
      <w:tblGrid>
        <w:gridCol w:w="5112"/>
        <w:gridCol w:w="5112"/>
      </w:tblGrid>
      <w:tr>
        <w:trPr>
          <w:tblHeader w:val="true"/>
        </w:trPr>
        <w:tc>
          <w:tcPr>
            <w:tcW w:type="dxa" w:w="5112"/>
            <w:shd w:fill="17364D"/>
          </w:tcPr>
          <w:p>
            <w:r>
              <w:rPr>
                <w:b/>
                <w:color w:val="FFFFFF"/>
              </w:rPr>
              <w:t>Field</w:t>
            </w:r>
          </w:p>
        </w:tc>
        <w:tc>
          <w:tcPr>
            <w:tcW w:type="dxa" w:w="5112"/>
            <w:shd w:fill="17364D"/>
          </w:tcPr>
          <w:p>
            <w:r>
              <w:rPr>
                <w:b/>
                <w:color w:val="FFFFFF"/>
              </w:rPr>
              <w:t>Editable value / default</w:t>
            </w:r>
          </w:p>
        </w:tc>
      </w:tr>
      <w:tr>
        <w:tc>
          <w:tcPr>
            <w:tcW w:type="dxa" w:w="5112"/>
            <w:vAlign w:val="top"/>
            <w:tcMar>
              <w:top w:w="80" w:type="dxa"/>
              <w:start w:w="90" w:type="dxa"/>
              <w:bottom w:w="80" w:type="dxa"/>
              <w:end w:w="90" w:type="dxa"/>
            </w:tcMar>
          </w:tcPr>
          <w:p>
            <w:r>
              <w:t>STATED</w:t>
            </w:r>
          </w:p>
        </w:tc>
        <w:tc>
          <w:tcPr>
            <w:tcW w:type="dxa" w:w="5112"/>
            <w:vAlign w:val="top"/>
            <w:tcMar>
              <w:top w:w="80" w:type="dxa"/>
              <w:start w:w="90" w:type="dxa"/>
              <w:bottom w:w="80" w:type="dxa"/>
              <w:end w:w="90" w:type="dxa"/>
            </w:tcMar>
          </w:tcPr>
          <w:p>
            <w:r>
              <w:t>Explicitly stated in a supplied source and not contradicted. Source-supported and uncontested; not independently verified.</w:t>
            </w:r>
          </w:p>
        </w:tc>
      </w:tr>
      <w:tr>
        <w:tc>
          <w:tcPr>
            <w:tcW w:type="dxa" w:w="5112"/>
            <w:vAlign w:val="top"/>
            <w:tcMar>
              <w:top w:w="80" w:type="dxa"/>
              <w:start w:w="90" w:type="dxa"/>
              <w:bottom w:w="80" w:type="dxa"/>
              <w:end w:w="90" w:type="dxa"/>
            </w:tcMar>
          </w:tcPr>
          <w:p>
            <w:r>
              <w:t>TENTATIVE</w:t>
            </w:r>
          </w:p>
        </w:tc>
        <w:tc>
          <w:tcPr>
            <w:tcW w:type="dxa" w:w="5112"/>
            <w:vAlign w:val="top"/>
            <w:tcMar>
              <w:top w:w="80" w:type="dxa"/>
              <w:start w:w="90" w:type="dxa"/>
              <w:bottom w:w="80" w:type="dxa"/>
              <w:end w:w="90" w:type="dxa"/>
            </w:tcMar>
          </w:tcPr>
          <w:p>
            <w:r>
              <w:t>Provisional, estimated, preferred, or not yet finalized.</w:t>
            </w:r>
          </w:p>
        </w:tc>
      </w:tr>
      <w:tr>
        <w:tc>
          <w:tcPr>
            <w:tcW w:type="dxa" w:w="5112"/>
            <w:vAlign w:val="top"/>
            <w:tcMar>
              <w:top w:w="80" w:type="dxa"/>
              <w:start w:w="90" w:type="dxa"/>
              <w:bottom w:w="80" w:type="dxa"/>
              <w:end w:w="90" w:type="dxa"/>
            </w:tcMar>
          </w:tcPr>
          <w:p>
            <w:r>
              <w:t>MISSING</w:t>
            </w:r>
          </w:p>
        </w:tc>
        <w:tc>
          <w:tcPr>
            <w:tcW w:type="dxa" w:w="5112"/>
            <w:vAlign w:val="top"/>
            <w:tcMar>
              <w:top w:w="80" w:type="dxa"/>
              <w:start w:w="90" w:type="dxa"/>
              <w:bottom w:w="80" w:type="dxa"/>
              <w:end w:w="90" w:type="dxa"/>
            </w:tcMar>
          </w:tcPr>
          <w:p>
            <w:r>
              <w:t>Needed by the configured intake standard but not supplied.</w:t>
            </w:r>
          </w:p>
        </w:tc>
      </w:tr>
      <w:tr>
        <w:tc>
          <w:tcPr>
            <w:tcW w:type="dxa" w:w="5112"/>
            <w:vAlign w:val="top"/>
            <w:tcMar>
              <w:top w:w="80" w:type="dxa"/>
              <w:start w:w="90" w:type="dxa"/>
              <w:bottom w:w="80" w:type="dxa"/>
              <w:end w:w="90" w:type="dxa"/>
            </w:tcMar>
          </w:tcPr>
          <w:p>
            <w:r>
              <w:t>CONFLICT</w:t>
            </w:r>
          </w:p>
        </w:tc>
        <w:tc>
          <w:tcPr>
            <w:tcW w:type="dxa" w:w="5112"/>
            <w:vAlign w:val="top"/>
            <w:tcMar>
              <w:top w:w="80" w:type="dxa"/>
              <w:start w:w="90" w:type="dxa"/>
              <w:bottom w:w="80" w:type="dxa"/>
              <w:end w:w="90" w:type="dxa"/>
            </w:tcMar>
          </w:tcPr>
          <w:p>
            <w:r>
              <w:t>Two or more sources disagree or cannot safely be reconciled.</w:t>
            </w:r>
          </w:p>
        </w:tc>
      </w:tr>
      <w:tr>
        <w:tc>
          <w:tcPr>
            <w:tcW w:type="dxa" w:w="5112"/>
            <w:vAlign w:val="top"/>
            <w:tcMar>
              <w:top w:w="80" w:type="dxa"/>
              <w:start w:w="90" w:type="dxa"/>
              <w:bottom w:w="80" w:type="dxa"/>
              <w:end w:w="90" w:type="dxa"/>
            </w:tcMar>
          </w:tcPr>
          <w:p>
            <w:r>
              <w:t>AMBIGUOUS</w:t>
            </w:r>
          </w:p>
        </w:tc>
        <w:tc>
          <w:tcPr>
            <w:tcW w:type="dxa" w:w="5112"/>
            <w:vAlign w:val="top"/>
            <w:tcMar>
              <w:top w:w="80" w:type="dxa"/>
              <w:start w:w="90" w:type="dxa"/>
              <w:bottom w:w="80" w:type="dxa"/>
              <w:end w:w="90" w:type="dxa"/>
            </w:tcMar>
          </w:tcPr>
          <w:p>
            <w:r>
              <w:t>Wording or meaning is unclear.</w:t>
            </w:r>
          </w:p>
        </w:tc>
      </w:tr>
      <w:tr>
        <w:tc>
          <w:tcPr>
            <w:tcW w:type="dxa" w:w="5112"/>
            <w:vAlign w:val="top"/>
            <w:tcMar>
              <w:top w:w="80" w:type="dxa"/>
              <w:start w:w="90" w:type="dxa"/>
              <w:bottom w:w="80" w:type="dxa"/>
              <w:end w:w="90" w:type="dxa"/>
            </w:tcMar>
          </w:tcPr>
          <w:p>
            <w:r>
              <w:t>INTERPRETATION</w:t>
            </w:r>
          </w:p>
        </w:tc>
        <w:tc>
          <w:tcPr>
            <w:tcW w:type="dxa" w:w="5112"/>
            <w:vAlign w:val="top"/>
            <w:tcMar>
              <w:top w:w="80" w:type="dxa"/>
              <w:start w:w="90" w:type="dxa"/>
              <w:bottom w:w="80" w:type="dxa"/>
              <w:end w:w="90" w:type="dxa"/>
            </w:tcMar>
          </w:tcPr>
          <w:p>
            <w:r>
              <w:t>Synthesis or pattern derived from source material rather than a stated fact.</w:t>
            </w:r>
          </w:p>
        </w:tc>
      </w:tr>
      <w:tr>
        <w:tc>
          <w:tcPr>
            <w:tcW w:type="dxa" w:w="5112"/>
            <w:vAlign w:val="top"/>
            <w:tcMar>
              <w:top w:w="80" w:type="dxa"/>
              <w:start w:w="90" w:type="dxa"/>
              <w:bottom w:w="80" w:type="dxa"/>
              <w:end w:w="90" w:type="dxa"/>
            </w:tcMar>
          </w:tcPr>
          <w:p>
            <w:r>
              <w:t>PLANNER DECISION</w:t>
            </w:r>
          </w:p>
        </w:tc>
        <w:tc>
          <w:tcPr>
            <w:tcW w:type="dxa" w:w="5112"/>
            <w:vAlign w:val="top"/>
            <w:tcMar>
              <w:top w:w="80" w:type="dxa"/>
              <w:start w:w="90" w:type="dxa"/>
              <w:bottom w:w="80" w:type="dxa"/>
              <w:end w:w="90" w:type="dxa"/>
            </w:tcMar>
          </w:tcPr>
          <w:p>
            <w:r>
              <w:t>Requires business judgment or approval.</w:t>
            </w:r>
          </w:p>
        </w:tc>
      </w:tr>
    </w:tbl>
    <w:p>
      <w:pPr>
        <w:pStyle w:val="Heading1"/>
      </w:pPr>
      <w:r>
        <w:t>5. Verification-status system</w:t>
      </w:r>
    </w:p>
    <w:tbl>
      <w:tblPr>
        <w:tblStyle w:val="TableGrid"/>
        <w:tblW w:type="auto" w:w="0"/>
        <w:jc w:val="center"/>
        <w:tblLook w:firstColumn="1" w:firstRow="1" w:lastColumn="0" w:lastRow="0" w:noHBand="0" w:noVBand="1" w:val="04A0"/>
      </w:tblPr>
      <w:tblGrid>
        <w:gridCol w:w="5112"/>
        <w:gridCol w:w="5112"/>
      </w:tblGrid>
      <w:tr>
        <w:trPr>
          <w:tblHeader w:val="true"/>
        </w:trPr>
        <w:tc>
          <w:tcPr>
            <w:tcW w:type="dxa" w:w="5112"/>
            <w:shd w:fill="17364D"/>
          </w:tcPr>
          <w:p>
            <w:r>
              <w:rPr>
                <w:b/>
                <w:color w:val="FFFFFF"/>
              </w:rPr>
              <w:t>Field</w:t>
            </w:r>
          </w:p>
        </w:tc>
        <w:tc>
          <w:tcPr>
            <w:tcW w:type="dxa" w:w="5112"/>
            <w:shd w:fill="17364D"/>
          </w:tcPr>
          <w:p>
            <w:r>
              <w:rPr>
                <w:b/>
                <w:color w:val="FFFFFF"/>
              </w:rPr>
              <w:t>Editable value / default</w:t>
            </w:r>
          </w:p>
        </w:tc>
      </w:tr>
      <w:tr>
        <w:tc>
          <w:tcPr>
            <w:tcW w:type="dxa" w:w="5112"/>
            <w:vAlign w:val="top"/>
            <w:tcMar>
              <w:top w:w="80" w:type="dxa"/>
              <w:start w:w="90" w:type="dxa"/>
              <w:bottom w:w="80" w:type="dxa"/>
              <w:end w:w="90" w:type="dxa"/>
            </w:tcMar>
          </w:tcPr>
          <w:p>
            <w:r>
              <w:t>CLIENT-REPORTED</w:t>
            </w:r>
          </w:p>
        </w:tc>
        <w:tc>
          <w:tcPr>
            <w:tcW w:type="dxa" w:w="5112"/>
            <w:vAlign w:val="top"/>
            <w:tcMar>
              <w:top w:w="80" w:type="dxa"/>
              <w:start w:w="90" w:type="dxa"/>
              <w:bottom w:w="80" w:type="dxa"/>
              <w:end w:w="90" w:type="dxa"/>
            </w:tcMar>
          </w:tcPr>
          <w:p>
            <w:r>
              <w:t>The client says it is true, but no independent support was supplied.</w:t>
            </w:r>
          </w:p>
        </w:tc>
      </w:tr>
      <w:tr>
        <w:tc>
          <w:tcPr>
            <w:tcW w:type="dxa" w:w="5112"/>
            <w:vAlign w:val="top"/>
            <w:tcMar>
              <w:top w:w="80" w:type="dxa"/>
              <w:start w:w="90" w:type="dxa"/>
              <w:bottom w:w="80" w:type="dxa"/>
              <w:end w:w="90" w:type="dxa"/>
            </w:tcMar>
          </w:tcPr>
          <w:p>
            <w:r>
              <w:t>DOCUMENT-SUPPORTED</w:t>
            </w:r>
          </w:p>
        </w:tc>
        <w:tc>
          <w:tcPr>
            <w:tcW w:type="dxa" w:w="5112"/>
            <w:vAlign w:val="top"/>
            <w:tcMar>
              <w:top w:w="80" w:type="dxa"/>
              <w:start w:w="90" w:type="dxa"/>
              <w:bottom w:w="80" w:type="dxa"/>
              <w:end w:w="90" w:type="dxa"/>
            </w:tcMar>
          </w:tcPr>
          <w:p>
            <w:r>
              <w:t>A supplied contract, invoice, receipt, confirmation, or similar source supports it.</w:t>
            </w:r>
          </w:p>
        </w:tc>
      </w:tr>
      <w:tr>
        <w:tc>
          <w:tcPr>
            <w:tcW w:type="dxa" w:w="5112"/>
            <w:vAlign w:val="top"/>
            <w:tcMar>
              <w:top w:w="80" w:type="dxa"/>
              <w:start w:w="90" w:type="dxa"/>
              <w:bottom w:w="80" w:type="dxa"/>
              <w:end w:w="90" w:type="dxa"/>
            </w:tcMar>
          </w:tcPr>
          <w:p>
            <w:r>
              <w:t>PLANNER-VERIFIED</w:t>
            </w:r>
          </w:p>
        </w:tc>
        <w:tc>
          <w:tcPr>
            <w:tcW w:type="dxa" w:w="5112"/>
            <w:vAlign w:val="top"/>
            <w:tcMar>
              <w:top w:w="80" w:type="dxa"/>
              <w:start w:w="90" w:type="dxa"/>
              <w:bottom w:w="80" w:type="dxa"/>
              <w:end w:w="90" w:type="dxa"/>
            </w:tcMar>
          </w:tcPr>
          <w:p>
            <w:r>
              <w:t>The planner explicitly marks it verified.</w:t>
            </w:r>
          </w:p>
        </w:tc>
      </w:tr>
      <w:tr>
        <w:tc>
          <w:tcPr>
            <w:tcW w:type="dxa" w:w="5112"/>
            <w:vAlign w:val="top"/>
            <w:tcMar>
              <w:top w:w="80" w:type="dxa"/>
              <w:start w:w="90" w:type="dxa"/>
              <w:bottom w:w="80" w:type="dxa"/>
              <w:end w:w="90" w:type="dxa"/>
            </w:tcMar>
          </w:tcPr>
          <w:p>
            <w:r>
              <w:t>NOT VERIFIED / UNKNOWN</w:t>
            </w:r>
          </w:p>
        </w:tc>
        <w:tc>
          <w:tcPr>
            <w:tcW w:type="dxa" w:w="5112"/>
            <w:vAlign w:val="top"/>
            <w:tcMar>
              <w:top w:w="80" w:type="dxa"/>
              <w:start w:w="90" w:type="dxa"/>
              <w:bottom w:w="80" w:type="dxa"/>
              <w:end w:w="90" w:type="dxa"/>
            </w:tcMar>
          </w:tcPr>
          <w:p>
            <w:r>
              <w:t>Verification status is not established.</w:t>
            </w:r>
          </w:p>
        </w:tc>
      </w:tr>
    </w:tbl>
    <w:p>
      <w:pPr>
        <w:pStyle w:val="Callout"/>
        <w:ind w:left="216"/>
      </w:pPr>
      <w:r>
        <w:t>Information state and verification status are separate. STATED never means independently verified.</w:t>
      </w:r>
    </w:p>
    <w:p>
      <w:pPr>
        <w:pStyle w:val="Heading1"/>
      </w:pPr>
      <w:r>
        <w:t>6. Workflow</w:t>
      </w:r>
    </w:p>
    <w:tbl>
      <w:tblPr>
        <w:tblStyle w:val="TableGrid"/>
        <w:tblW w:type="auto" w:w="0"/>
        <w:jc w:val="center"/>
        <w:tblLook w:firstColumn="1" w:firstRow="1" w:lastColumn="0" w:lastRow="0" w:noHBand="0" w:noVBand="1" w:val="04A0"/>
      </w:tblPr>
      <w:tblGrid>
        <w:gridCol w:w="5112"/>
        <w:gridCol w:w="5112"/>
      </w:tblGrid>
      <w:tr>
        <w:trPr>
          <w:tblHeader w:val="true"/>
        </w:trPr>
        <w:tc>
          <w:tcPr>
            <w:tcW w:type="dxa" w:w="5112"/>
            <w:shd w:fill="17364D"/>
          </w:tcPr>
          <w:p>
            <w:r>
              <w:rPr>
                <w:b/>
                <w:color w:val="FFFFFF"/>
              </w:rPr>
              <w:t>Workflow step</w:t>
            </w:r>
          </w:p>
        </w:tc>
        <w:tc>
          <w:tcPr>
            <w:tcW w:type="dxa" w:w="5112"/>
            <w:shd w:fill="17364D"/>
          </w:tcPr>
          <w:p>
            <w:r>
              <w:rPr>
                <w:b/>
                <w:color w:val="FFFFFF"/>
              </w:rPr>
              <w:t>What happens</w:t>
            </w:r>
          </w:p>
        </w:tc>
      </w:tr>
      <w:tr>
        <w:tc>
          <w:tcPr>
            <w:tcW w:type="dxa" w:w="5112"/>
            <w:tcMar>
              <w:top w:w="80" w:type="dxa"/>
              <w:start w:w="90" w:type="dxa"/>
              <w:bottom w:w="80" w:type="dxa"/>
              <w:end w:w="90" w:type="dxa"/>
            </w:tcMar>
            <w:vAlign w:val="top"/>
          </w:tcPr>
          <w:p>
            <w:r>
              <w:t>1. Register sources</w:t>
            </w:r>
          </w:p>
        </w:tc>
        <w:tc>
          <w:tcPr>
            <w:tcW w:type="dxa" w:w="5112"/>
            <w:tcMar>
              <w:top w:w="80" w:type="dxa"/>
              <w:start w:w="90" w:type="dxa"/>
              <w:bottom w:w="80" w:type="dxa"/>
              <w:end w:w="90" w:type="dxa"/>
            </w:tcMar>
            <w:vAlign w:val="top"/>
          </w:tcPr>
          <w:p>
            <w:r>
              <w:t>Capture source label, type, date/sequence, supplied by, source role, and limitations.</w:t>
            </w:r>
          </w:p>
        </w:tc>
      </w:tr>
      <w:tr>
        <w:tc>
          <w:tcPr>
            <w:tcW w:type="dxa" w:w="5112"/>
            <w:tcMar>
              <w:top w:w="80" w:type="dxa"/>
              <w:start w:w="90" w:type="dxa"/>
              <w:bottom w:w="80" w:type="dxa"/>
              <w:end w:w="90" w:type="dxa"/>
            </w:tcMar>
            <w:vAlign w:val="top"/>
          </w:tcPr>
          <w:p>
            <w:r>
              <w:t>2. Extract explicit information</w:t>
            </w:r>
          </w:p>
        </w:tc>
        <w:tc>
          <w:tcPr>
            <w:tcW w:type="dxa" w:w="5112"/>
            <w:tcMar>
              <w:top w:w="80" w:type="dxa"/>
              <w:start w:w="90" w:type="dxa"/>
              <w:bottom w:w="80" w:type="dxa"/>
              <w:end w:w="90" w:type="dxa"/>
            </w:tcMar>
            <w:vAlign w:val="top"/>
          </w:tcPr>
          <w:p>
            <w:r>
              <w:t>Pull stated facts, preferences, requests, numbers, dates, constraints, and commitments without guessing.</w:t>
            </w:r>
          </w:p>
        </w:tc>
      </w:tr>
      <w:tr>
        <w:tc>
          <w:tcPr>
            <w:tcW w:type="dxa" w:w="5112"/>
            <w:tcMar>
              <w:top w:w="80" w:type="dxa"/>
              <w:start w:w="90" w:type="dxa"/>
              <w:bottom w:w="80" w:type="dxa"/>
              <w:end w:w="90" w:type="dxa"/>
            </w:tcMar>
            <w:vAlign w:val="top"/>
          </w:tcPr>
          <w:p>
            <w:r>
              <w:t>3. Label information state</w:t>
            </w:r>
          </w:p>
        </w:tc>
        <w:tc>
          <w:tcPr>
            <w:tcW w:type="dxa" w:w="5112"/>
            <w:tcMar>
              <w:top w:w="80" w:type="dxa"/>
              <w:start w:w="90" w:type="dxa"/>
              <w:bottom w:w="80" w:type="dxa"/>
              <w:end w:w="90" w:type="dxa"/>
            </w:tcMar>
            <w:vAlign w:val="top"/>
          </w:tcPr>
          <w:p>
            <w:r>
              <w:t>Apply STATED, TENTATIVE, MISSING, CONFLICT, AMBIGUOUS, INTERPRETATION, or PLANNER DECISION.</w:t>
            </w:r>
          </w:p>
        </w:tc>
      </w:tr>
      <w:tr>
        <w:tc>
          <w:tcPr>
            <w:tcW w:type="dxa" w:w="5112"/>
            <w:tcMar>
              <w:top w:w="80" w:type="dxa"/>
              <w:start w:w="90" w:type="dxa"/>
              <w:bottom w:w="80" w:type="dxa"/>
              <w:end w:w="90" w:type="dxa"/>
            </w:tcMar>
            <w:vAlign w:val="top"/>
          </w:tcPr>
          <w:p>
            <w:r>
              <w:t>4. Reconcile without erasing disagreement</w:t>
            </w:r>
          </w:p>
        </w:tc>
        <w:tc>
          <w:tcPr>
            <w:tcW w:type="dxa" w:w="5112"/>
            <w:tcMar>
              <w:top w:w="80" w:type="dxa"/>
              <w:start w:w="90" w:type="dxa"/>
              <w:bottom w:w="80" w:type="dxa"/>
              <w:end w:w="90" w:type="dxa"/>
            </w:tcMar>
            <w:vAlign w:val="top"/>
          </w:tcPr>
          <w:p>
            <w:r>
              <w:t>Combine true duplicates; preserve explicit corrections; keep unclear changes as conflicts; do not let third-party input override the client automatically.</w:t>
            </w:r>
          </w:p>
        </w:tc>
      </w:tr>
      <w:tr>
        <w:tc>
          <w:tcPr>
            <w:tcW w:type="dxa" w:w="5112"/>
            <w:tcMar>
              <w:top w:w="80" w:type="dxa"/>
              <w:start w:w="90" w:type="dxa"/>
              <w:bottom w:w="80" w:type="dxa"/>
              <w:end w:w="90" w:type="dxa"/>
            </w:tcMar>
            <w:vAlign w:val="top"/>
          </w:tcPr>
          <w:p>
            <w:r>
              <w:t>4A. Preserve verification status</w:t>
            </w:r>
          </w:p>
        </w:tc>
        <w:tc>
          <w:tcPr>
            <w:tcW w:type="dxa" w:w="5112"/>
            <w:tcMar>
              <w:top w:w="80" w:type="dxa"/>
              <w:start w:w="90" w:type="dxa"/>
              <w:bottom w:w="80" w:type="dxa"/>
              <w:end w:w="90" w:type="dxa"/>
            </w:tcMar>
            <w:vAlign w:val="top"/>
          </w:tcPr>
          <w:p>
            <w:r>
              <w:t>For bookings, payments, contracts, final counts, and similar claims, record the strongest supported verification status.</w:t>
            </w:r>
          </w:p>
        </w:tc>
      </w:tr>
      <w:tr>
        <w:tc>
          <w:tcPr>
            <w:tcW w:type="dxa" w:w="5112"/>
            <w:tcMar>
              <w:top w:w="80" w:type="dxa"/>
              <w:start w:w="90" w:type="dxa"/>
              <w:bottom w:w="80" w:type="dxa"/>
              <w:end w:w="90" w:type="dxa"/>
            </w:tcMar>
            <w:vAlign w:val="top"/>
          </w:tcPr>
          <w:p>
            <w:r>
              <w:t>5. Check intake completeness</w:t>
            </w:r>
          </w:p>
        </w:tc>
        <w:tc>
          <w:tcPr>
            <w:tcW w:type="dxa" w:w="5112"/>
            <w:tcMar>
              <w:top w:w="80" w:type="dxa"/>
              <w:start w:w="90" w:type="dxa"/>
              <w:bottom w:w="80" w:type="dxa"/>
              <w:end w:w="90" w:type="dxa"/>
            </w:tcMar>
            <w:vAlign w:val="top"/>
          </w:tcPr>
          <w:p>
            <w:r>
              <w:t>Compare the packet with your configured intake standard.</w:t>
            </w:r>
          </w:p>
        </w:tc>
      </w:tr>
      <w:tr>
        <w:tc>
          <w:tcPr>
            <w:tcW w:type="dxa" w:w="5112"/>
            <w:tcMar>
              <w:top w:w="80" w:type="dxa"/>
              <w:start w:w="90" w:type="dxa"/>
              <w:bottom w:w="80" w:type="dxa"/>
              <w:end w:w="90" w:type="dxa"/>
            </w:tcMar>
            <w:vAlign w:val="top"/>
          </w:tcPr>
          <w:p>
            <w:r>
              <w:t>6. Build budget snapshot</w:t>
            </w:r>
          </w:p>
        </w:tc>
        <w:tc>
          <w:tcPr>
            <w:tcW w:type="dxa" w:w="5112"/>
            <w:tcMar>
              <w:top w:w="80" w:type="dxa"/>
              <w:start w:w="90" w:type="dxa"/>
              <w:bottom w:w="80" w:type="dxa"/>
              <w:end w:w="90" w:type="dxa"/>
            </w:tcMar>
            <w:vAlign w:val="top"/>
          </w:tcPr>
          <w:p>
            <w:r>
              <w:t>Separate client-stated budget, quoted/committed amounts, planner-entered working amounts, unpriced items, and uncertainty.</w:t>
            </w:r>
          </w:p>
        </w:tc>
      </w:tr>
      <w:tr>
        <w:tc>
          <w:tcPr>
            <w:tcW w:type="dxa" w:w="5112"/>
            <w:tcMar>
              <w:top w:w="80" w:type="dxa"/>
              <w:start w:w="90" w:type="dxa"/>
              <w:bottom w:w="80" w:type="dxa"/>
              <w:end w:w="90" w:type="dxa"/>
            </w:tcMar>
            <w:vAlign w:val="top"/>
          </w:tcPr>
          <w:p>
            <w:r>
              <w:t>7. Build design-direction summary</w:t>
            </w:r>
          </w:p>
        </w:tc>
        <w:tc>
          <w:tcPr>
            <w:tcW w:type="dxa" w:w="5112"/>
            <w:tcMar>
              <w:top w:w="80" w:type="dxa"/>
              <w:start w:w="90" w:type="dxa"/>
              <w:bottom w:w="80" w:type="dxa"/>
              <w:end w:w="90" w:type="dxa"/>
            </w:tcMar>
            <w:vAlign w:val="top"/>
          </w:tcPr>
          <w:p>
            <w:r>
              <w:t>Separate client language, reference observations, interpretation, and unresolved choices.</w:t>
            </w:r>
          </w:p>
        </w:tc>
      </w:tr>
      <w:tr>
        <w:tc>
          <w:tcPr>
            <w:tcW w:type="dxa" w:w="5112"/>
            <w:tcMar>
              <w:top w:w="80" w:type="dxa"/>
              <w:start w:w="90" w:type="dxa"/>
              <w:bottom w:w="80" w:type="dxa"/>
              <w:end w:w="90" w:type="dxa"/>
            </w:tcMar>
            <w:vAlign w:val="top"/>
          </w:tcPr>
          <w:p>
            <w:r>
              <w:t>8. Build logistics snapshot</w:t>
            </w:r>
          </w:p>
        </w:tc>
        <w:tc>
          <w:tcPr>
            <w:tcW w:type="dxa" w:w="5112"/>
            <w:tcMar>
              <w:top w:w="80" w:type="dxa"/>
              <w:start w:w="90" w:type="dxa"/>
              <w:bottom w:w="80" w:type="dxa"/>
              <w:end w:w="90" w:type="dxa"/>
            </w:tcMar>
            <w:vAlign w:val="top"/>
          </w:tcPr>
          <w:p>
            <w:r>
              <w:t>Organize venue, access, timing, guest count, known vendors/rentals, constraints, dependencies, and confirmation needs.</w:t>
            </w:r>
          </w:p>
        </w:tc>
      </w:tr>
      <w:tr>
        <w:tc>
          <w:tcPr>
            <w:tcW w:type="dxa" w:w="5112"/>
            <w:tcMar>
              <w:top w:w="80" w:type="dxa"/>
              <w:start w:w="90" w:type="dxa"/>
              <w:bottom w:w="80" w:type="dxa"/>
              <w:end w:w="90" w:type="dxa"/>
            </w:tcMar>
            <w:vAlign w:val="top"/>
          </w:tcPr>
          <w:p>
            <w:r>
              <w:t>9. Identify issues</w:t>
            </w:r>
          </w:p>
        </w:tc>
        <w:tc>
          <w:tcPr>
            <w:tcW w:type="dxa" w:w="5112"/>
            <w:tcMar>
              <w:top w:w="80" w:type="dxa"/>
              <w:start w:w="90" w:type="dxa"/>
              <w:bottom w:w="80" w:type="dxa"/>
              <w:end w:w="90" w:type="dxa"/>
            </w:tcMar>
            <w:vAlign w:val="top"/>
          </w:tcPr>
          <w:p>
            <w:r>
              <w:t>Create a dedicated list of missing information, conflicts, and ambiguities with source references and blocker status.</w:t>
            </w:r>
          </w:p>
        </w:tc>
      </w:tr>
      <w:tr>
        <w:tc>
          <w:tcPr>
            <w:tcW w:type="dxa" w:w="5112"/>
            <w:tcMar>
              <w:top w:w="80" w:type="dxa"/>
              <w:start w:w="90" w:type="dxa"/>
              <w:bottom w:w="80" w:type="dxa"/>
              <w:end w:w="90" w:type="dxa"/>
            </w:tcMar>
            <w:vAlign w:val="top"/>
          </w:tcPr>
          <w:p>
            <w:r>
              <w:t>10. Prioritize follow-up</w:t>
            </w:r>
          </w:p>
        </w:tc>
        <w:tc>
          <w:tcPr>
            <w:tcW w:type="dxa" w:w="5112"/>
            <w:tcMar>
              <w:top w:w="80" w:type="dxa"/>
              <w:start w:w="90" w:type="dxa"/>
              <w:bottom w:w="80" w:type="dxa"/>
              <w:end w:w="90" w:type="dxa"/>
            </w:tcMar>
            <w:vAlign w:val="top"/>
          </w:tcPr>
          <w:p>
            <w:r>
              <w:t>Ask the smallest useful set of questions: blockers first, then consequential conflicts, required gaps, high-impact preferences, and lower-priority details.</w:t>
            </w:r>
          </w:p>
        </w:tc>
      </w:tr>
      <w:tr>
        <w:tc>
          <w:tcPr>
            <w:tcW w:type="dxa" w:w="5112"/>
            <w:tcMar>
              <w:top w:w="80" w:type="dxa"/>
              <w:start w:w="90" w:type="dxa"/>
              <w:bottom w:w="80" w:type="dxa"/>
              <w:end w:w="90" w:type="dxa"/>
            </w:tcMar>
            <w:vAlign w:val="top"/>
          </w:tcPr>
          <w:p>
            <w:r>
              <w:t>11. Produce the brief</w:t>
            </w:r>
          </w:p>
        </w:tc>
        <w:tc>
          <w:tcPr>
            <w:tcW w:type="dxa" w:w="5112"/>
            <w:tcMar>
              <w:top w:w="80" w:type="dxa"/>
              <w:start w:w="90" w:type="dxa"/>
              <w:bottom w:w="80" w:type="dxa"/>
              <w:end w:w="90" w:type="dxa"/>
            </w:tcMar>
            <w:vAlign w:val="top"/>
          </w:tcPr>
          <w:p>
            <w:r>
              <w:t>Generate the fifteen-section Client-to-Party-Plan Brief.</w:t>
            </w:r>
          </w:p>
        </w:tc>
      </w:tr>
      <w:tr>
        <w:tc>
          <w:tcPr>
            <w:tcW w:type="dxa" w:w="5112"/>
            <w:tcMar>
              <w:top w:w="80" w:type="dxa"/>
              <w:start w:w="90" w:type="dxa"/>
              <w:bottom w:w="80" w:type="dxa"/>
              <w:end w:w="90" w:type="dxa"/>
            </w:tcMar>
            <w:vAlign w:val="top"/>
          </w:tcPr>
          <w:p>
            <w:r>
              <w:t>12. Planner review gate</w:t>
            </w:r>
          </w:p>
        </w:tc>
        <w:tc>
          <w:tcPr>
            <w:tcW w:type="dxa" w:w="5112"/>
            <w:tcMar>
              <w:top w:w="80" w:type="dxa"/>
              <w:start w:w="90" w:type="dxa"/>
              <w:bottom w:w="80" w:type="dxa"/>
              <w:end w:w="90" w:type="dxa"/>
            </w:tcMar>
            <w:vAlign w:val="top"/>
          </w:tcPr>
          <w:p>
            <w:r>
              <w:t>Review facts, verification, conflicts, budget, scope, design interpretation, questions, and next-step recommendations before external use.</w:t>
            </w:r>
          </w:p>
        </w:tc>
      </w:tr>
    </w:tbl>
    <w:p>
      <w:pPr>
        <w:pStyle w:val="Heading1"/>
      </w:pPr>
      <w:r>
        <w:t>7. Intake completeness - default categories</w:t>
      </w:r>
    </w:p>
    <w:p>
      <w:pPr>
        <w:pStyle w:val="ListBullet"/>
        <w:spacing w:after="40"/>
      </w:pPr>
      <w:r>
        <w:t>event identity / purpose;</w:t>
      </w:r>
    </w:p>
    <w:p>
      <w:pPr>
        <w:pStyle w:val="ListBullet"/>
        <w:spacing w:after="40"/>
      </w:pPr>
      <w:r>
        <w:t>date / timing;</w:t>
      </w:r>
    </w:p>
    <w:p>
      <w:pPr>
        <w:pStyle w:val="ListBullet"/>
        <w:spacing w:after="40"/>
      </w:pPr>
      <w:r>
        <w:t>guest count;</w:t>
      </w:r>
    </w:p>
    <w:p>
      <w:pPr>
        <w:pStyle w:val="ListBullet"/>
        <w:spacing w:after="40"/>
      </w:pPr>
      <w:r>
        <w:t>venue / location status;</w:t>
      </w:r>
    </w:p>
    <w:p>
      <w:pPr>
        <w:pStyle w:val="ListBullet"/>
        <w:spacing w:after="40"/>
      </w:pPr>
      <w:r>
        <w:t>budget status;</w:t>
      </w:r>
    </w:p>
    <w:p>
      <w:pPr>
        <w:pStyle w:val="ListBullet"/>
        <w:spacing w:after="40"/>
      </w:pPr>
      <w:r>
        <w:t>service scope;</w:t>
      </w:r>
    </w:p>
    <w:p>
      <w:pPr>
        <w:pStyle w:val="ListBullet"/>
        <w:spacing w:after="40"/>
      </w:pPr>
      <w:r>
        <w:t>priorities / must-haves;</w:t>
      </w:r>
    </w:p>
    <w:p>
      <w:pPr>
        <w:pStyle w:val="ListBullet"/>
        <w:spacing w:after="40"/>
      </w:pPr>
      <w:r>
        <w:t>design direction / inspiration;</w:t>
      </w:r>
    </w:p>
    <w:p>
      <w:pPr>
        <w:pStyle w:val="ListBullet"/>
        <w:spacing w:after="40"/>
      </w:pPr>
      <w:r>
        <w:t>existing vendor or venue commitments;</w:t>
      </w:r>
    </w:p>
    <w:p>
      <w:pPr>
        <w:pStyle w:val="ListBullet"/>
        <w:spacing w:after="40"/>
      </w:pPr>
      <w:r>
        <w:t>operational / access / setup constraints;</w:t>
      </w:r>
    </w:p>
    <w:p>
      <w:pPr>
        <w:pStyle w:val="ListBullet"/>
        <w:spacing w:after="40"/>
      </w:pPr>
      <w:r>
        <w:t>unresolved client decisions.</w:t>
      </w:r>
    </w:p>
    <w:p>
      <w:r>
        <w:rPr>
          <w:b/>
        </w:rPr>
        <w:t xml:space="preserve">Customize: </w:t>
      </w:r>
      <w:r>
        <w:t>[Add, remove, or reclassify categories for your business. If your intake standard is not yet defined, treat these defaults as a starter rather than universal requirements.]</w:t>
      </w:r>
    </w:p>
    <w:p>
      <w:pPr>
        <w:pStyle w:val="Heading1"/>
      </w:pPr>
      <w:r>
        <w:t>8. Decision rules - keep these intact unless your business process intentionally changes</w:t>
      </w:r>
    </w:p>
    <w:p>
      <w:pPr>
        <w:pStyle w:val="ListNumber"/>
        <w:spacing w:after="40"/>
      </w:pPr>
      <w:r>
        <w:t>No invented facts. Missing information stays missing.</w:t>
      </w:r>
    </w:p>
    <w:p>
      <w:pPr>
        <w:pStyle w:val="ListNumber"/>
        <w:spacing w:after="40"/>
      </w:pPr>
      <w:r>
        <w:t>Explicit client corrections are traceable. A clearly stated correction may become current, but prior values remain visible in source history when needed.</w:t>
      </w:r>
    </w:p>
    <w:p>
      <w:pPr>
        <w:pStyle w:val="ListNumber"/>
        <w:spacing w:after="40"/>
      </w:pPr>
      <w:r>
        <w:t>Unclear changes remain conflicts. Recency alone does not prove one source supersedes another.</w:t>
      </w:r>
    </w:p>
    <w:p>
      <w:pPr>
        <w:pStyle w:val="ListNumber"/>
        <w:spacing w:after="40"/>
      </w:pPr>
      <w:r>
        <w:t>Third-party messages do not automatically override the client. Flag them for planner confirmation.</w:t>
      </w:r>
    </w:p>
    <w:p>
      <w:pPr>
        <w:pStyle w:val="ListNumber"/>
        <w:spacing w:after="40"/>
      </w:pPr>
      <w:r>
        <w:t>Planner notes are not automatically client-approved facts. Label internal interpretation separately.</w:t>
      </w:r>
    </w:p>
    <w:p>
      <w:pPr>
        <w:pStyle w:val="ListNumber"/>
        <w:spacing w:after="40"/>
      </w:pPr>
      <w:r>
        <w:t>Inspiration is reference, not commitment. Summarize direction; do not convert it into a promised design.</w:t>
      </w:r>
    </w:p>
    <w:p>
      <w:pPr>
        <w:pStyle w:val="ListNumber"/>
        <w:spacing w:after="40"/>
      </w:pPr>
      <w:r>
        <w:t>Budget labels preserve uncertainty: stated budget, range, estimate, quote, committed spend, and unpriced item stay distinct.</w:t>
      </w:r>
    </w:p>
    <w:p>
      <w:pPr>
        <w:pStyle w:val="ListNumber"/>
        <w:spacing w:after="40"/>
      </w:pPr>
      <w:r>
        <w:t>Scope must be explicit. A client request is not automatically included in contracted service.</w:t>
      </w:r>
    </w:p>
    <w:p>
      <w:pPr>
        <w:pStyle w:val="ListNumber"/>
        <w:spacing w:after="40"/>
      </w:pPr>
      <w:r>
        <w:t>Ambiguous time language must be clarified. "Setup at 1" does not identify event start, venue access, vendor arrival, or setup-complete time.</w:t>
      </w:r>
    </w:p>
    <w:p>
      <w:pPr>
        <w:pStyle w:val="ListNumber"/>
        <w:spacing w:after="40"/>
      </w:pPr>
      <w:r>
        <w:t>Do not resolve consequential tradeoffs for the planner. Present the decision and relevant known facts.</w:t>
      </w:r>
    </w:p>
    <w:p>
      <w:pPr>
        <w:pStyle w:val="ListNumber"/>
        <w:spacing w:after="40"/>
      </w:pPr>
      <w:r>
        <w:t>If the configured intake standard is missing, use the default category checklist only as a starter and label it as such.</w:t>
      </w:r>
    </w:p>
    <w:p>
      <w:pPr>
        <w:pStyle w:val="ListNumber"/>
        <w:spacing w:after="40"/>
      </w:pPr>
      <w:r>
        <w:t>If sources are too incomplete to produce a reliable brief, produce a gap report instead of a polished plan.</w:t>
      </w:r>
    </w:p>
    <w:p>
      <w:pPr>
        <w:pStyle w:val="ListNumber"/>
        <w:spacing w:after="40"/>
      </w:pPr>
      <w:r>
        <w:t>Escalate uncertainty that materially affects cost, commitments, safety, venue rules, contracts, or client expectations.</w:t>
      </w:r>
    </w:p>
    <w:p>
      <w:pPr>
        <w:pStyle w:val="ListNumber"/>
        <w:spacing w:after="40"/>
      </w:pPr>
      <w:r>
        <w:t>Do not equate STATED with verified. Booking/payment/contract/final-count claims remain client-reported unless documentary support or planner verification exists.</w:t>
      </w:r>
    </w:p>
    <w:p>
      <w:pPr>
        <w:pStyle w:val="ListNumber"/>
        <w:spacing w:after="40"/>
      </w:pPr>
      <w:r>
        <w:t>Separate requested services from contracted scope. Requested services stay requests until planner-owned records establish acceptance or contract.</w:t>
      </w:r>
    </w:p>
    <w:p>
      <w:pPr>
        <w:pStyle w:val="ListNumber"/>
        <w:spacing w:after="40"/>
      </w:pPr>
      <w:r>
        <w:t>Use brief-status labels consistently: Planning-ready = no unresolved blocker for the next internal step; Needs clarification = planning can continue internally but high-impact clarification is needed before a consequential next step; Blocked = an unresolved item prevents responsible continuation.</w:t>
      </w:r>
    </w:p>
    <w:p>
      <w:pPr>
        <w:pStyle w:val="Heading1"/>
      </w:pPr>
      <w:r>
        <w:t>9. Human-judgment boundaries</w:t>
      </w:r>
    </w:p>
    <w:p>
      <w:r>
        <w:rPr>
          <w:b/>
        </w:rPr>
        <w:t>Without explicit planner approval, AI must not:</w:t>
      </w:r>
    </w:p>
    <w:p>
      <w:pPr>
        <w:pStyle w:val="ListBullet"/>
        <w:spacing w:after="40"/>
      </w:pPr>
      <w:r>
        <w:t>commit the planner to a price, quote, discount, refund, fee, purchase, rental, or vendor;</w:t>
      </w:r>
    </w:p>
    <w:p>
      <w:pPr>
        <w:pStyle w:val="ListBullet"/>
        <w:spacing w:after="40"/>
      </w:pPr>
      <w:r>
        <w:t>promise that the client vision can be delivered within budget;</w:t>
      </w:r>
    </w:p>
    <w:p>
      <w:pPr>
        <w:pStyle w:val="ListBullet"/>
        <w:spacing w:after="40"/>
      </w:pPr>
      <w:r>
        <w:t>choose a final venue, vendor, design, theme execution, menu, entertainment, rental package, or timeline commitment;</w:t>
      </w:r>
    </w:p>
    <w:p>
      <w:pPr>
        <w:pStyle w:val="ListBullet"/>
        <w:spacing w:after="40"/>
      </w:pPr>
      <w:r>
        <w:t>alter contractual scope;</w:t>
      </w:r>
    </w:p>
    <w:p>
      <w:pPr>
        <w:pStyle w:val="ListBullet"/>
        <w:spacing w:after="40"/>
      </w:pPr>
      <w:r>
        <w:t>contact the client, vendor, venue, or third party, or send follow-up questions automatically;</w:t>
      </w:r>
    </w:p>
    <w:p>
      <w:pPr>
        <w:pStyle w:val="ListBullet"/>
        <w:spacing w:after="40"/>
      </w:pPr>
      <w:r>
        <w:t>place orders or make reservations;</w:t>
      </w:r>
    </w:p>
    <w:p>
      <w:pPr>
        <w:pStyle w:val="ListBullet"/>
        <w:spacing w:after="40"/>
      </w:pPr>
      <w:r>
        <w:t>treat inspiration as permission to reproduce another creator's work;</w:t>
      </w:r>
    </w:p>
    <w:p>
      <w:pPr>
        <w:pStyle w:val="ListBullet"/>
        <w:spacing w:after="40"/>
      </w:pPr>
      <w:r>
        <w:t>conceal contradictions or fill gaps with plausible guesses;</w:t>
      </w:r>
    </w:p>
    <w:p>
      <w:pPr>
        <w:pStyle w:val="ListBullet"/>
        <w:spacing w:after="40"/>
      </w:pPr>
      <w:r>
        <w:t>treat sensitive personal information as relevant merely because it appears in source material;</w:t>
      </w:r>
    </w:p>
    <w:p>
      <w:pPr>
        <w:pStyle w:val="ListBullet"/>
        <w:spacing w:after="40"/>
      </w:pPr>
      <w:r>
        <w:t>make legal, safety, insurance, permitting, alcohol-service, accessibility-compliance, or contractual determinations;</w:t>
      </w:r>
    </w:p>
    <w:p>
      <w:pPr>
        <w:pStyle w:val="ListBullet"/>
        <w:spacing w:after="40"/>
      </w:pPr>
      <w:r>
        <w:t>publish or externally share the brief.</w:t>
      </w:r>
    </w:p>
    <w:p>
      <w:pPr>
        <w:pStyle w:val="Callout"/>
        <w:ind w:left="216"/>
      </w:pPr>
      <w:r>
        <w:t>The planner remains the decision-maker for consequential choices and external actions.</w:t>
      </w:r>
    </w:p>
    <w:p>
      <w:pPr>
        <w:pStyle w:val="Heading1"/>
      </w:pPr>
      <w:r>
        <w:t>10. Output - fifteen-section Client-to-Party-Plan Brief</w:t>
      </w:r>
    </w:p>
    <w:tbl>
      <w:tblPr>
        <w:tblStyle w:val="TableGrid"/>
        <w:tblW w:type="auto" w:w="0"/>
        <w:jc w:val="center"/>
        <w:tblLook w:firstColumn="1" w:firstRow="1" w:lastColumn="0" w:lastRow="0" w:noHBand="0" w:noVBand="1" w:val="04A0"/>
      </w:tblPr>
      <w:tblGrid>
        <w:gridCol w:w="5112"/>
        <w:gridCol w:w="5112"/>
      </w:tblGrid>
      <w:tr>
        <w:trPr>
          <w:tblHeader w:val="true"/>
        </w:trPr>
        <w:tc>
          <w:tcPr>
            <w:tcW w:type="dxa" w:w="5112"/>
            <w:shd w:fill="17364D"/>
          </w:tcPr>
          <w:p>
            <w:r>
              <w:rPr>
                <w:b/>
                <w:color w:val="FFFFFF"/>
              </w:rPr>
              <w:t>Field</w:t>
            </w:r>
          </w:p>
        </w:tc>
        <w:tc>
          <w:tcPr>
            <w:tcW w:type="dxa" w:w="5112"/>
            <w:shd w:fill="17364D"/>
          </w:tcPr>
          <w:p>
            <w:r>
              <w:rPr>
                <w:b/>
                <w:color w:val="FFFFFF"/>
              </w:rPr>
              <w:t>Editable value / default</w:t>
            </w:r>
          </w:p>
        </w:tc>
      </w:tr>
      <w:tr>
        <w:tc>
          <w:tcPr>
            <w:tcW w:type="dxa" w:w="5112"/>
            <w:vAlign w:val="top"/>
            <w:tcMar>
              <w:top w:w="80" w:type="dxa"/>
              <w:start w:w="90" w:type="dxa"/>
              <w:bottom w:w="80" w:type="dxa"/>
              <w:end w:w="90" w:type="dxa"/>
            </w:tcMar>
          </w:tcPr>
          <w:p>
            <w:r>
              <w:t>A. Brief Status</w:t>
            </w:r>
          </w:p>
        </w:tc>
        <w:tc>
          <w:tcPr>
            <w:tcW w:type="dxa" w:w="5112"/>
            <w:vAlign w:val="top"/>
            <w:tcMar>
              <w:top w:w="80" w:type="dxa"/>
              <w:start w:w="90" w:type="dxa"/>
              <w:bottom w:w="80" w:type="dxa"/>
              <w:end w:w="90" w:type="dxa"/>
            </w:tcMar>
          </w:tcPr>
          <w:p>
            <w:r>
              <w:t>Planning-ready / Needs clarification / Blocked + short reason.</w:t>
            </w:r>
          </w:p>
        </w:tc>
      </w:tr>
      <w:tr>
        <w:tc>
          <w:tcPr>
            <w:tcW w:type="dxa" w:w="5112"/>
            <w:vAlign w:val="top"/>
            <w:tcMar>
              <w:top w:w="80" w:type="dxa"/>
              <w:start w:w="90" w:type="dxa"/>
              <w:bottom w:w="80" w:type="dxa"/>
              <w:end w:w="90" w:type="dxa"/>
            </w:tcMar>
          </w:tcPr>
          <w:p>
            <w:r>
              <w:t>B. Event Snapshot</w:t>
            </w:r>
          </w:p>
        </w:tc>
        <w:tc>
          <w:tcPr>
            <w:tcW w:type="dxa" w:w="5112"/>
            <w:vAlign w:val="top"/>
            <w:tcMar>
              <w:top w:w="80" w:type="dxa"/>
              <w:start w:w="90" w:type="dxa"/>
              <w:bottom w:w="80" w:type="dxa"/>
              <w:end w:w="90" w:type="dxa"/>
            </w:tcMar>
          </w:tcPr>
          <w:p>
            <w:r>
              <w:t>Event, client/decision-maker, date/timing, guest count, venue, services requested, and contracted/planner-approved scope status.</w:t>
            </w:r>
          </w:p>
        </w:tc>
      </w:tr>
      <w:tr>
        <w:tc>
          <w:tcPr>
            <w:tcW w:type="dxa" w:w="5112"/>
            <w:vAlign w:val="top"/>
            <w:tcMar>
              <w:top w:w="80" w:type="dxa"/>
              <w:start w:w="90" w:type="dxa"/>
              <w:bottom w:w="80" w:type="dxa"/>
              <w:end w:w="90" w:type="dxa"/>
            </w:tcMar>
          </w:tcPr>
          <w:p>
            <w:r>
              <w:t>C. Stated / Uncontested Details</w:t>
            </w:r>
          </w:p>
        </w:tc>
        <w:tc>
          <w:tcPr>
            <w:tcW w:type="dxa" w:w="5112"/>
            <w:vAlign w:val="top"/>
            <w:tcMar>
              <w:top w:w="80" w:type="dxa"/>
              <w:start w:w="90" w:type="dxa"/>
              <w:bottom w:w="80" w:type="dxa"/>
              <w:end w:w="90" w:type="dxa"/>
            </w:tcMar>
          </w:tcPr>
          <w:p>
            <w:r>
              <w:t>Source-labeled details; verification status where relevant.</w:t>
            </w:r>
          </w:p>
        </w:tc>
      </w:tr>
      <w:tr>
        <w:tc>
          <w:tcPr>
            <w:tcW w:type="dxa" w:w="5112"/>
            <w:vAlign w:val="top"/>
            <w:tcMar>
              <w:top w:w="80" w:type="dxa"/>
              <w:start w:w="90" w:type="dxa"/>
              <w:bottom w:w="80" w:type="dxa"/>
              <w:end w:w="90" w:type="dxa"/>
            </w:tcMar>
          </w:tcPr>
          <w:p>
            <w:r>
              <w:t>D. Tentative / Working Details</w:t>
            </w:r>
          </w:p>
        </w:tc>
        <w:tc>
          <w:tcPr>
            <w:tcW w:type="dxa" w:w="5112"/>
            <w:vAlign w:val="top"/>
            <w:tcMar>
              <w:top w:w="80" w:type="dxa"/>
              <w:start w:w="90" w:type="dxa"/>
              <w:bottom w:w="80" w:type="dxa"/>
              <w:end w:w="90" w:type="dxa"/>
            </w:tcMar>
          </w:tcPr>
          <w:p>
            <w:r>
              <w:t>Estimates, preferences, provisional choices.</w:t>
            </w:r>
          </w:p>
        </w:tc>
      </w:tr>
      <w:tr>
        <w:tc>
          <w:tcPr>
            <w:tcW w:type="dxa" w:w="5112"/>
            <w:vAlign w:val="top"/>
            <w:tcMar>
              <w:top w:w="80" w:type="dxa"/>
              <w:start w:w="90" w:type="dxa"/>
              <w:bottom w:w="80" w:type="dxa"/>
              <w:end w:w="90" w:type="dxa"/>
            </w:tcMar>
          </w:tcPr>
          <w:p>
            <w:r>
              <w:t>E. Priorities + Must-Haves</w:t>
            </w:r>
          </w:p>
        </w:tc>
        <w:tc>
          <w:tcPr>
            <w:tcW w:type="dxa" w:w="5112"/>
            <w:vAlign w:val="top"/>
            <w:tcMar>
              <w:top w:w="80" w:type="dxa"/>
              <w:start w:w="90" w:type="dxa"/>
              <w:bottom w:w="80" w:type="dxa"/>
              <w:end w:w="90" w:type="dxa"/>
            </w:tcMar>
          </w:tcPr>
          <w:p>
            <w:r>
              <w:t>Client-stated priorities; planner notes kept separate.</w:t>
            </w:r>
          </w:p>
        </w:tc>
      </w:tr>
      <w:tr>
        <w:tc>
          <w:tcPr>
            <w:tcW w:type="dxa" w:w="5112"/>
            <w:vAlign w:val="top"/>
            <w:tcMar>
              <w:top w:w="80" w:type="dxa"/>
              <w:start w:w="90" w:type="dxa"/>
              <w:bottom w:w="80" w:type="dxa"/>
              <w:end w:w="90" w:type="dxa"/>
            </w:tcMar>
          </w:tcPr>
          <w:p>
            <w:r>
              <w:t>F. Design Direction</w:t>
            </w:r>
          </w:p>
        </w:tc>
        <w:tc>
          <w:tcPr>
            <w:tcW w:type="dxa" w:w="5112"/>
            <w:vAlign w:val="top"/>
            <w:tcMar>
              <w:top w:w="80" w:type="dxa"/>
              <w:start w:w="90" w:type="dxa"/>
              <w:bottom w:w="80" w:type="dxa"/>
              <w:end w:w="90" w:type="dxa"/>
            </w:tcMar>
          </w:tcPr>
          <w:p>
            <w:r>
              <w:t>Client language, inspiration summary, labeled interpretation, unresolved choices.</w:t>
            </w:r>
          </w:p>
        </w:tc>
      </w:tr>
      <w:tr>
        <w:tc>
          <w:tcPr>
            <w:tcW w:type="dxa" w:w="5112"/>
            <w:vAlign w:val="top"/>
            <w:tcMar>
              <w:top w:w="80" w:type="dxa"/>
              <w:start w:w="90" w:type="dxa"/>
              <w:bottom w:w="80" w:type="dxa"/>
              <w:end w:w="90" w:type="dxa"/>
            </w:tcMar>
          </w:tcPr>
          <w:p>
            <w:r>
              <w:t>G. Budget Snapshot</w:t>
            </w:r>
          </w:p>
        </w:tc>
        <w:tc>
          <w:tcPr>
            <w:tcW w:type="dxa" w:w="5112"/>
            <w:vAlign w:val="top"/>
            <w:tcMar>
              <w:top w:w="80" w:type="dxa"/>
              <w:start w:w="90" w:type="dxa"/>
              <w:bottom w:w="80" w:type="dxa"/>
              <w:end w:w="90" w:type="dxa"/>
            </w:tcMar>
          </w:tcPr>
          <w:p>
            <w:r>
              <w:t>Stated total/range, quoted/committed amounts, planner working amounts, unpriced items, uncertainty.</w:t>
            </w:r>
          </w:p>
        </w:tc>
      </w:tr>
      <w:tr>
        <w:tc>
          <w:tcPr>
            <w:tcW w:type="dxa" w:w="5112"/>
            <w:vAlign w:val="top"/>
            <w:tcMar>
              <w:top w:w="80" w:type="dxa"/>
              <w:start w:w="90" w:type="dxa"/>
              <w:bottom w:w="80" w:type="dxa"/>
              <w:end w:w="90" w:type="dxa"/>
            </w:tcMar>
          </w:tcPr>
          <w:p>
            <w:r>
              <w:t>H. Logistics Snapshot</w:t>
            </w:r>
          </w:p>
        </w:tc>
        <w:tc>
          <w:tcPr>
            <w:tcW w:type="dxa" w:w="5112"/>
            <w:vAlign w:val="top"/>
            <w:tcMar>
              <w:top w:w="80" w:type="dxa"/>
              <w:start w:w="90" w:type="dxa"/>
              <w:bottom w:w="80" w:type="dxa"/>
              <w:end w:w="90" w:type="dxa"/>
            </w:tcMar>
          </w:tcPr>
          <w:p>
            <w:r>
              <w:t>Venue/access/setup/event timing, known vendors/rentals/deliveries, constraints/dependencies.</w:t>
            </w:r>
          </w:p>
        </w:tc>
      </w:tr>
      <w:tr>
        <w:tc>
          <w:tcPr>
            <w:tcW w:type="dxa" w:w="5112"/>
            <w:vAlign w:val="top"/>
            <w:tcMar>
              <w:top w:w="80" w:type="dxa"/>
              <w:start w:w="90" w:type="dxa"/>
              <w:bottom w:w="80" w:type="dxa"/>
              <w:end w:w="90" w:type="dxa"/>
            </w:tcMar>
          </w:tcPr>
          <w:p>
            <w:r>
              <w:t>I. Existing Commitments</w:t>
            </w:r>
          </w:p>
        </w:tc>
        <w:tc>
          <w:tcPr>
            <w:tcW w:type="dxa" w:w="5112"/>
            <w:vAlign w:val="top"/>
            <w:tcMar>
              <w:top w:w="80" w:type="dxa"/>
              <w:start w:w="90" w:type="dxa"/>
              <w:bottom w:w="80" w:type="dxa"/>
              <w:end w:w="90" w:type="dxa"/>
            </w:tcMar>
          </w:tcPr>
          <w:p>
            <w:r>
              <w:t>Booked venue/vendors/purchased items/prior decisions only when supported.</w:t>
            </w:r>
          </w:p>
        </w:tc>
      </w:tr>
      <w:tr>
        <w:tc>
          <w:tcPr>
            <w:tcW w:type="dxa" w:w="5112"/>
            <w:vAlign w:val="top"/>
            <w:tcMar>
              <w:top w:w="80" w:type="dxa"/>
              <w:start w:w="90" w:type="dxa"/>
              <w:bottom w:w="80" w:type="dxa"/>
              <w:end w:w="90" w:type="dxa"/>
            </w:tcMar>
          </w:tcPr>
          <w:p>
            <w:r>
              <w:t>J. Missing Information</w:t>
            </w:r>
          </w:p>
        </w:tc>
        <w:tc>
          <w:tcPr>
            <w:tcW w:type="dxa" w:w="5112"/>
            <w:vAlign w:val="top"/>
            <w:tcMar>
              <w:top w:w="80" w:type="dxa"/>
              <w:start w:w="90" w:type="dxa"/>
              <w:bottom w:w="80" w:type="dxa"/>
              <w:end w:w="90" w:type="dxa"/>
            </w:tcMar>
          </w:tcPr>
          <w:p>
            <w:r>
              <w:t>Required or high-impact gaps.</w:t>
            </w:r>
          </w:p>
        </w:tc>
      </w:tr>
      <w:tr>
        <w:tc>
          <w:tcPr>
            <w:tcW w:type="dxa" w:w="5112"/>
            <w:vAlign w:val="top"/>
            <w:tcMar>
              <w:top w:w="80" w:type="dxa"/>
              <w:start w:w="90" w:type="dxa"/>
              <w:bottom w:w="80" w:type="dxa"/>
              <w:end w:w="90" w:type="dxa"/>
            </w:tcMar>
          </w:tcPr>
          <w:p>
            <w:r>
              <w:t>K. Conflicts + Ambiguities</w:t>
            </w:r>
          </w:p>
        </w:tc>
        <w:tc>
          <w:tcPr>
            <w:tcW w:type="dxa" w:w="5112"/>
            <w:vAlign w:val="top"/>
            <w:tcMar>
              <w:top w:w="80" w:type="dxa"/>
              <w:start w:w="90" w:type="dxa"/>
              <w:bottom w:w="80" w:type="dxa"/>
              <w:end w:w="90" w:type="dxa"/>
            </w:tcMar>
          </w:tcPr>
          <w:p>
            <w:r>
              <w:t>Conflicting source statements, unclear terms, source references.</w:t>
            </w:r>
          </w:p>
        </w:tc>
      </w:tr>
      <w:tr>
        <w:tc>
          <w:tcPr>
            <w:tcW w:type="dxa" w:w="5112"/>
            <w:vAlign w:val="top"/>
            <w:tcMar>
              <w:top w:w="80" w:type="dxa"/>
              <w:start w:w="90" w:type="dxa"/>
              <w:bottom w:w="80" w:type="dxa"/>
              <w:end w:w="90" w:type="dxa"/>
            </w:tcMar>
          </w:tcPr>
          <w:p>
            <w:r>
              <w:t>L. Follow-Up Questions</w:t>
            </w:r>
          </w:p>
        </w:tc>
        <w:tc>
          <w:tcPr>
            <w:tcW w:type="dxa" w:w="5112"/>
            <w:vAlign w:val="top"/>
            <w:tcMar>
              <w:top w:w="80" w:type="dxa"/>
              <w:start w:w="90" w:type="dxa"/>
              <w:bottom w:w="80" w:type="dxa"/>
              <w:end w:w="90" w:type="dxa"/>
            </w:tcMar>
          </w:tcPr>
          <w:p>
            <w:r>
              <w:t>Prioritized question set for planner review.</w:t>
            </w:r>
          </w:p>
        </w:tc>
      </w:tr>
      <w:tr>
        <w:tc>
          <w:tcPr>
            <w:tcW w:type="dxa" w:w="5112"/>
            <w:vAlign w:val="top"/>
            <w:tcMar>
              <w:top w:w="80" w:type="dxa"/>
              <w:start w:w="90" w:type="dxa"/>
              <w:bottom w:w="80" w:type="dxa"/>
              <w:end w:w="90" w:type="dxa"/>
            </w:tcMar>
          </w:tcPr>
          <w:p>
            <w:r>
              <w:t>M. Planner Decisions Required</w:t>
            </w:r>
          </w:p>
        </w:tc>
        <w:tc>
          <w:tcPr>
            <w:tcW w:type="dxa" w:w="5112"/>
            <w:vAlign w:val="top"/>
            <w:tcMar>
              <w:top w:w="80" w:type="dxa"/>
              <w:start w:w="90" w:type="dxa"/>
              <w:bottom w:w="80" w:type="dxa"/>
              <w:end w:w="90" w:type="dxa"/>
            </w:tcMar>
          </w:tcPr>
          <w:p>
            <w:r>
              <w:t>Items requiring business judgment.</w:t>
            </w:r>
          </w:p>
        </w:tc>
      </w:tr>
      <w:tr>
        <w:tc>
          <w:tcPr>
            <w:tcW w:type="dxa" w:w="5112"/>
            <w:vAlign w:val="top"/>
            <w:tcMar>
              <w:top w:w="80" w:type="dxa"/>
              <w:start w:w="90" w:type="dxa"/>
              <w:bottom w:w="80" w:type="dxa"/>
              <w:end w:w="90" w:type="dxa"/>
            </w:tcMar>
          </w:tcPr>
          <w:p>
            <w:r>
              <w:t>N. Recommended Next Internal Step</w:t>
            </w:r>
          </w:p>
        </w:tc>
        <w:tc>
          <w:tcPr>
            <w:tcW w:type="dxa" w:w="5112"/>
            <w:vAlign w:val="top"/>
            <w:tcMar>
              <w:top w:w="80" w:type="dxa"/>
              <w:start w:w="90" w:type="dxa"/>
              <w:bottom w:w="80" w:type="dxa"/>
              <w:end w:w="90" w:type="dxa"/>
            </w:tcMar>
          </w:tcPr>
          <w:p>
            <w:r>
              <w:t>Non-binding planner-reviewed next action.</w:t>
            </w:r>
          </w:p>
        </w:tc>
      </w:tr>
      <w:tr>
        <w:tc>
          <w:tcPr>
            <w:tcW w:type="dxa" w:w="5112"/>
            <w:vAlign w:val="top"/>
            <w:tcMar>
              <w:top w:w="80" w:type="dxa"/>
              <w:start w:w="90" w:type="dxa"/>
              <w:bottom w:w="80" w:type="dxa"/>
              <w:end w:w="90" w:type="dxa"/>
            </w:tcMar>
          </w:tcPr>
          <w:p>
            <w:r>
              <w:t>O. Source Register / Provenance Notes</w:t>
            </w:r>
          </w:p>
        </w:tc>
        <w:tc>
          <w:tcPr>
            <w:tcW w:type="dxa" w:w="5112"/>
            <w:vAlign w:val="top"/>
            <w:tcMar>
              <w:top w:w="80" w:type="dxa"/>
              <w:start w:w="90" w:type="dxa"/>
              <w:bottom w:w="80" w:type="dxa"/>
              <w:end w:w="90" w:type="dxa"/>
            </w:tcMar>
          </w:tcPr>
          <w:p>
            <w:r>
              <w:t>Compact source list and material caveats.</w:t>
            </w:r>
          </w:p>
        </w:tc>
      </w:tr>
    </w:tbl>
    <w:p>
      <w:pPr>
        <w:pStyle w:val="Heading1"/>
      </w:pPr>
      <w:r>
        <w:t>11. Final checks</w:t>
      </w:r>
    </w:p>
    <w:p>
      <w:pPr>
        <w:spacing w:after="40"/>
      </w:pPr>
      <w:r>
        <w:t>[ ] Every consequential detail is supported by a supplied source or planner-entered business rule.</w:t>
      </w:r>
    </w:p>
    <w:p>
      <w:pPr>
        <w:spacing w:after="40"/>
      </w:pPr>
      <w:r>
        <w:t>[ ] Missing information has not been filled with guesses.</w:t>
      </w:r>
    </w:p>
    <w:p>
      <w:pPr>
        <w:spacing w:after="40"/>
      </w:pPr>
      <w:r>
        <w:t>[ ] Conflicts and ambiguities are visible.</w:t>
      </w:r>
    </w:p>
    <w:p>
      <w:pPr>
        <w:spacing w:after="40"/>
      </w:pPr>
      <w:r>
        <w:t>[ ] Third-party statements have not silently overridden the client.</w:t>
      </w:r>
    </w:p>
    <w:p>
      <w:pPr>
        <w:spacing w:after="40"/>
      </w:pPr>
      <w:r>
        <w:t>[ ] Planner notes / AI interpretations are separate from client facts.</w:t>
      </w:r>
    </w:p>
    <w:p>
      <w:pPr>
        <w:spacing w:after="40"/>
      </w:pPr>
      <w:r>
        <w:t>[ ] Budget values preserve their actual status.</w:t>
      </w:r>
    </w:p>
    <w:p>
      <w:pPr>
        <w:spacing w:after="40"/>
      </w:pPr>
      <w:r>
        <w:t>[ ] No client-reported booking, payment, contract, final-count, or similar claim is presented as independently verified without support.</w:t>
      </w:r>
    </w:p>
    <w:p>
      <w:pPr>
        <w:spacing w:after="40"/>
      </w:pPr>
      <w:r>
        <w:t>[ ] Requested services are not presented as contracted scope without planner-owned support.</w:t>
      </w:r>
    </w:p>
    <w:p>
      <w:pPr>
        <w:spacing w:after="40"/>
      </w:pPr>
      <w:r>
        <w:t>[ ] Inspiration is summarized without being treated as an approved copied design.</w:t>
      </w:r>
    </w:p>
    <w:p>
      <w:pPr>
        <w:spacing w:after="40"/>
      </w:pPr>
      <w:r>
        <w:t>[ ] Follow-up questions are prioritized and not automatically sent.</w:t>
      </w:r>
    </w:p>
    <w:p>
      <w:pPr>
        <w:spacing w:after="40"/>
      </w:pPr>
      <w:r>
        <w:t>[ ] Consequential decisions are routed to the planner.</w:t>
      </w:r>
    </w:p>
    <w:p>
      <w:pPr>
        <w:spacing w:after="40"/>
      </w:pPr>
      <w:r>
        <w:t>[ ] The brief contains only information needed for the planning task.</w:t>
      </w:r>
    </w:p>
    <w:p>
      <w:pPr>
        <w:spacing w:after="40"/>
      </w:pPr>
      <w:r>
        <w:t>[ ] The output is understandable without requiring a specific AI platform.</w:t>
      </w:r>
    </w:p>
    <w:p>
      <w:pPr>
        <w:pStyle w:val="Heading1"/>
      </w:pPr>
      <w:r>
        <w:t>12. Five-test set</w:t>
      </w:r>
    </w:p>
    <w:tbl>
      <w:tblPr>
        <w:tblStyle w:val="TableGrid"/>
        <w:tblW w:type="auto" w:w="0"/>
        <w:jc w:val="center"/>
        <w:tblLook w:firstColumn="1" w:firstRow="1" w:lastColumn="0" w:lastRow="0" w:noHBand="0" w:noVBand="1" w:val="04A0"/>
      </w:tblPr>
      <w:tblGrid>
        <w:gridCol w:w="3408"/>
        <w:gridCol w:w="3408"/>
        <w:gridCol w:w="3408"/>
      </w:tblGrid>
      <w:tr>
        <w:trPr>
          <w:tblHeader w:val="true"/>
        </w:trPr>
        <w:tc>
          <w:tcPr>
            <w:tcW w:type="dxa" w:w="3408"/>
            <w:shd w:fill="17364D"/>
          </w:tcPr>
          <w:p>
            <w:r>
              <w:rPr>
                <w:b/>
                <w:color w:val="FFFFFF"/>
              </w:rPr>
              <w:t>Test class</w:t>
            </w:r>
          </w:p>
        </w:tc>
        <w:tc>
          <w:tcPr>
            <w:tcW w:type="dxa" w:w="3408"/>
            <w:shd w:fill="17364D"/>
          </w:tcPr>
          <w:p>
            <w:r>
              <w:rPr>
                <w:b/>
                <w:color w:val="FFFFFF"/>
              </w:rPr>
              <w:t>Synthetic setup</w:t>
            </w:r>
          </w:p>
        </w:tc>
        <w:tc>
          <w:tcPr>
            <w:tcW w:type="dxa" w:w="3408"/>
            <w:shd w:fill="17364D"/>
          </w:tcPr>
          <w:p>
            <w:r>
              <w:rPr>
                <w:b/>
                <w:color w:val="FFFFFF"/>
              </w:rPr>
              <w:t>Pass behavior</w:t>
            </w:r>
          </w:p>
        </w:tc>
      </w:tr>
      <w:tr>
        <w:tc>
          <w:tcPr>
            <w:tcW w:type="dxa" w:w="3408"/>
            <w:vAlign w:val="top"/>
            <w:tcMar>
              <w:top w:w="80" w:type="dxa"/>
              <w:start w:w="90" w:type="dxa"/>
              <w:bottom w:w="80" w:type="dxa"/>
              <w:end w:w="90" w:type="dxa"/>
            </w:tcMar>
          </w:tcPr>
          <w:p>
            <w:r>
              <w:t>Happy Path</w:t>
            </w:r>
          </w:p>
        </w:tc>
        <w:tc>
          <w:tcPr>
            <w:tcW w:type="dxa" w:w="3408"/>
            <w:vAlign w:val="top"/>
            <w:tcMar>
              <w:top w:w="80" w:type="dxa"/>
              <w:start w:w="90" w:type="dxa"/>
              <w:bottom w:w="80" w:type="dxa"/>
              <w:end w:w="90" w:type="dxa"/>
            </w:tcMar>
          </w:tcPr>
          <w:p>
            <w:r>
              <w:t>Mostly complete, consistent intake.</w:t>
            </w:r>
          </w:p>
        </w:tc>
        <w:tc>
          <w:tcPr>
            <w:tcW w:type="dxa" w:w="3408"/>
            <w:vAlign w:val="top"/>
            <w:tcMar>
              <w:top w:w="80" w:type="dxa"/>
              <w:start w:w="90" w:type="dxa"/>
              <w:bottom w:w="80" w:type="dxa"/>
              <w:end w:w="90" w:type="dxa"/>
            </w:tcMar>
          </w:tcPr>
          <w:p>
            <w:r>
              <w:t>Concise brief; limited follow-up; no invented details.</w:t>
            </w:r>
          </w:p>
        </w:tc>
      </w:tr>
      <w:tr>
        <w:tc>
          <w:tcPr>
            <w:tcW w:type="dxa" w:w="3408"/>
            <w:vAlign w:val="top"/>
            <w:tcMar>
              <w:top w:w="80" w:type="dxa"/>
              <w:start w:w="90" w:type="dxa"/>
              <w:bottom w:w="80" w:type="dxa"/>
              <w:end w:w="90" w:type="dxa"/>
            </w:tcMar>
          </w:tcPr>
          <w:p>
            <w:r>
              <w:t>Missing Information</w:t>
            </w:r>
          </w:p>
        </w:tc>
        <w:tc>
          <w:tcPr>
            <w:tcW w:type="dxa" w:w="3408"/>
            <w:vAlign w:val="top"/>
            <w:tcMar>
              <w:top w:w="80" w:type="dxa"/>
              <w:start w:w="90" w:type="dxa"/>
              <w:bottom w:w="80" w:type="dxa"/>
              <w:end w:w="90" w:type="dxa"/>
            </w:tcMar>
          </w:tcPr>
          <w:p>
            <w:r>
              <w:t>Theme/guest count/inspiration but no firm date, venue, budget, or service scope.</w:t>
            </w:r>
          </w:p>
        </w:tc>
        <w:tc>
          <w:tcPr>
            <w:tcW w:type="dxa" w:w="3408"/>
            <w:vAlign w:val="top"/>
            <w:tcMar>
              <w:top w:w="80" w:type="dxa"/>
              <w:start w:w="90" w:type="dxa"/>
              <w:bottom w:w="80" w:type="dxa"/>
              <w:end w:w="90" w:type="dxa"/>
            </w:tcMar>
          </w:tcPr>
          <w:p>
            <w:r>
              <w:t>Gap-forward output rather than a falsely complete plan.</w:t>
            </w:r>
          </w:p>
        </w:tc>
      </w:tr>
      <w:tr>
        <w:tc>
          <w:tcPr>
            <w:tcW w:type="dxa" w:w="3408"/>
            <w:vAlign w:val="top"/>
            <w:tcMar>
              <w:top w:w="80" w:type="dxa"/>
              <w:start w:w="90" w:type="dxa"/>
              <w:bottom w:w="80" w:type="dxa"/>
              <w:end w:w="90" w:type="dxa"/>
            </w:tcMar>
          </w:tcPr>
          <w:p>
            <w:r>
              <w:t>Contradiction</w:t>
            </w:r>
          </w:p>
        </w:tc>
        <w:tc>
          <w:tcPr>
            <w:tcW w:type="dxa" w:w="3408"/>
            <w:vAlign w:val="top"/>
            <w:tcMar>
              <w:top w:w="80" w:type="dxa"/>
              <w:start w:w="90" w:type="dxa"/>
              <w:bottom w:w="80" w:type="dxa"/>
              <w:end w:w="90" w:type="dxa"/>
            </w:tcMar>
          </w:tcPr>
          <w:p>
            <w:r>
              <w:t>Guest count and budget statements disagree.</w:t>
            </w:r>
          </w:p>
        </w:tc>
        <w:tc>
          <w:tcPr>
            <w:tcW w:type="dxa" w:w="3408"/>
            <w:vAlign w:val="top"/>
            <w:tcMar>
              <w:top w:w="80" w:type="dxa"/>
              <w:start w:w="90" w:type="dxa"/>
              <w:bottom w:w="80" w:type="dxa"/>
              <w:end w:w="90" w:type="dxa"/>
            </w:tcMar>
          </w:tcPr>
          <w:p>
            <w:r>
              <w:t>Show conflict/possible correction without silently choosing a value.</w:t>
            </w:r>
          </w:p>
        </w:tc>
      </w:tr>
      <w:tr>
        <w:tc>
          <w:tcPr>
            <w:tcW w:type="dxa" w:w="3408"/>
            <w:vAlign w:val="top"/>
            <w:tcMar>
              <w:top w:w="80" w:type="dxa"/>
              <w:start w:w="90" w:type="dxa"/>
              <w:bottom w:w="80" w:type="dxa"/>
              <w:end w:w="90" w:type="dxa"/>
            </w:tcMar>
          </w:tcPr>
          <w:p>
            <w:r>
              <w:t>Boundary</w:t>
            </w:r>
          </w:p>
        </w:tc>
        <w:tc>
          <w:tcPr>
            <w:tcW w:type="dxa" w:w="3408"/>
            <w:vAlign w:val="top"/>
            <w:tcMar>
              <w:top w:w="80" w:type="dxa"/>
              <w:start w:w="90" w:type="dxa"/>
              <w:bottom w:w="80" w:type="dxa"/>
              <w:end w:w="90" w:type="dxa"/>
            </w:tcMar>
          </w:tcPr>
          <w:p>
            <w:r>
              <w:t>Request asks AI/planner to choose vendor, guarantee budget, and send recommendation.</w:t>
            </w:r>
          </w:p>
        </w:tc>
        <w:tc>
          <w:tcPr>
            <w:tcW w:type="dxa" w:w="3408"/>
            <w:vAlign w:val="top"/>
            <w:tcMar>
              <w:top w:w="80" w:type="dxa"/>
              <w:start w:w="90" w:type="dxa"/>
              <w:bottom w:w="80" w:type="dxa"/>
              <w:end w:w="90" w:type="dxa"/>
            </w:tcMar>
          </w:tcPr>
          <w:p>
            <w:r>
              <w:t>Organize decision; route selection, commitment, and communication to planner.</w:t>
            </w:r>
          </w:p>
        </w:tc>
      </w:tr>
      <w:tr>
        <w:tc>
          <w:tcPr>
            <w:tcW w:type="dxa" w:w="3408"/>
            <w:vAlign w:val="top"/>
            <w:tcMar>
              <w:top w:w="80" w:type="dxa"/>
              <w:start w:w="90" w:type="dxa"/>
              <w:bottom w:w="80" w:type="dxa"/>
              <w:end w:w="90" w:type="dxa"/>
            </w:tcMar>
          </w:tcPr>
          <w:p>
            <w:r>
              <w:t>Messy Input</w:t>
            </w:r>
          </w:p>
        </w:tc>
        <w:tc>
          <w:tcPr>
            <w:tcW w:type="dxa" w:w="3408"/>
            <w:vAlign w:val="top"/>
            <w:tcMar>
              <w:top w:w="80" w:type="dxa"/>
              <w:start w:w="90" w:type="dxa"/>
              <w:bottom w:w="80" w:type="dxa"/>
              <w:end w:w="90" w:type="dxa"/>
            </w:tcMar>
          </w:tcPr>
          <w:p>
            <w:r>
              <w:t>Scattered DMs, call notes, shorthand, inspiration, third-party input, ambiguous timing.</w:t>
            </w:r>
          </w:p>
        </w:tc>
        <w:tc>
          <w:tcPr>
            <w:tcW w:type="dxa" w:w="3408"/>
            <w:vAlign w:val="top"/>
            <w:tcMar>
              <w:top w:w="80" w:type="dxa"/>
              <w:start w:w="90" w:type="dxa"/>
              <w:bottom w:w="80" w:type="dxa"/>
              <w:end w:w="90" w:type="dxa"/>
            </w:tcMar>
          </w:tcPr>
          <w:p>
            <w:r>
              <w:t>Source-label, reconcile what is safe, flag ambiguity/third-party input, prioritize clarification.</w:t>
            </w:r>
          </w:p>
        </w:tc>
      </w:tr>
    </w:tbl>
    <w:p>
      <w:pPr>
        <w:pStyle w:val="Heading1"/>
      </w:pPr>
      <w:r>
        <w:t>13. What must stay the same across platforms</w:t>
      </w:r>
    </w:p>
    <w:p>
      <w:pPr>
        <w:pStyle w:val="ListBullet"/>
        <w:spacing w:after="40"/>
      </w:pPr>
      <w:r>
        <w:t>Same trigger and next intended internal step.</w:t>
      </w:r>
    </w:p>
    <w:p>
      <w:pPr>
        <w:pStyle w:val="ListBullet"/>
        <w:spacing w:after="40"/>
      </w:pPr>
      <w:r>
        <w:t>Same information-state definitions and verification-status definitions.</w:t>
      </w:r>
    </w:p>
    <w:p>
      <w:pPr>
        <w:pStyle w:val="ListBullet"/>
        <w:spacing w:after="40"/>
      </w:pPr>
      <w:r>
        <w:t>Same source-authority, scope, and budget rules.</w:t>
      </w:r>
    </w:p>
    <w:p>
      <w:pPr>
        <w:pStyle w:val="ListBullet"/>
        <w:spacing w:after="40"/>
      </w:pPr>
      <w:r>
        <w:t>Same human-judgment boundaries.</w:t>
      </w:r>
    </w:p>
    <w:p>
      <w:pPr>
        <w:pStyle w:val="ListBullet"/>
        <w:spacing w:after="40"/>
      </w:pPr>
      <w:r>
        <w:t>Same fifteen-section output and final checks.</w:t>
      </w:r>
    </w:p>
    <w:p>
      <w:pPr>
        <w:pStyle w:val="ListBullet"/>
        <w:spacing w:after="40"/>
      </w:pPr>
      <w:r>
        <w:t>Same five test classes and regression discipline.</w:t>
      </w:r>
    </w:p>
    <w:p>
      <w:pPr>
        <w:pStyle w:val="ListBullet"/>
        <w:spacing w:after="40"/>
      </w:pPr>
      <w:r>
        <w:t>No new external-action permissions simply because a new platform supports them.</w:t>
      </w:r>
    </w:p>
    <w:p>
      <w:pPr>
        <w:pStyle w:val="Callout"/>
        <w:ind w:left="216"/>
      </w:pPr>
      <w:r>
        <w:t>The Skill is the workflow. The software is only the container. AI is an optional accelerator, not a requirement.</w:t>
      </w:r>
    </w:p>
    <w:p>
      <w:r>
        <w:br w:type="page"/>
      </w:r>
    </w:p>
    <w:p>
      <w:pPr>
        <w:pStyle w:val="Heading1"/>
      </w:pPr>
      <w:r>
        <w:t>Appendix A - Copy/Paste Universal AI Instructions</w:t>
      </w:r>
    </w:p>
    <w:p>
      <w:pPr>
        <w:pStyle w:val="Callout"/>
      </w:pPr>
      <w:r>
        <w:t>Use this section when you want to run the Client-to-Party-Plan Skill with AI. The instruction block below is reproduced from the book and is included here so you do not have to retype it from Kindle.</w:t>
      </w:r>
    </w:p>
    <w:p>
      <w:r>
        <w:t>How to use it: Copy the full instruction block into a capable AI system, then provide your business rules and labeled source material as described in the book. Keep the decision rules, boundaries, source-handling rules, output structure, and final checks intact unless your business process intentionally changes.</w:t>
      </w:r>
    </w:p>
    <w:p>
      <w:pPr>
        <w:pStyle w:val="Callout"/>
      </w:pPr>
      <w:r>
        <w:t>Why this appendix is included: This appendix is for implementation convenience only. It does not introduce new Skill behavior or replace the explanations, business-knowledge setup, testing, and customization guidance in the book.</w:t>
      </w:r>
    </w:p>
    <w:p>
      <w:pPr>
        <w:pStyle w:val="Heading2"/>
      </w:pPr>
      <w:r>
        <w:t>Universal AI Instructions</w:t>
      </w:r>
    </w:p>
    <w:p>
      <w:pPr>
        <w:pStyle w:val="NoSpacing"/>
        <w:spacing w:before="0" w:after="0" w:line="240" w:lineRule="auto"/>
        <w:ind w:left="259" w:right="144"/>
      </w:pPr>
      <w:r>
        <w:rPr>
          <w:rFonts w:ascii="Liberation Mono" w:hAnsi="Liberation Mono" w:eastAsia="Liberation Mono"/>
          <w:sz w:val="17"/>
        </w:rPr>
        <w:t>NAME</w:t>
      </w:r>
    </w:p>
    <w:p>
      <w:pPr>
        <w:pStyle w:val="NoSpacing"/>
        <w:spacing w:before="0" w:after="0" w:line="240" w:lineRule="auto"/>
        <w:ind w:left="259" w:right="144"/>
      </w:pPr>
      <w:r>
        <w:rPr>
          <w:rFonts w:ascii="Liberation Mono" w:hAnsi="Liberation Mono" w:eastAsia="Liberation Mono"/>
          <w:sz w:val="17"/>
        </w:rPr>
        <w:t>Client-to-Party-Plan</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ROLE</w:t>
      </w:r>
    </w:p>
    <w:p>
      <w:pPr>
        <w:pStyle w:val="NoSpacing"/>
        <w:spacing w:before="0" w:after="0" w:line="240" w:lineRule="auto"/>
        <w:ind w:left="259" w:right="144"/>
      </w:pPr>
      <w:r>
        <w:rPr>
          <w:rFonts w:ascii="Liberation Mono" w:hAnsi="Liberation Mono" w:eastAsia="Liberation Mono"/>
          <w:sz w:val="17"/>
        </w:rPr>
        <w:t>Act as an intake reconciliation and planning-brief assistant for a solo or very small party-planning business. Your job is to organize supplied information, preserve source provenance and uncertainty, identify gaps and conflicts, and prepare a structured internal brief for planner review.</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CORE RULE</w:t>
      </w:r>
    </w:p>
    <w:p>
      <w:pPr>
        <w:pStyle w:val="NoSpacing"/>
        <w:spacing w:before="0" w:after="0" w:line="240" w:lineRule="auto"/>
        <w:ind w:left="259" w:right="144"/>
      </w:pPr>
      <w:r>
        <w:rPr>
          <w:rFonts w:ascii="Liberation Mono" w:hAnsi="Liberation Mono" w:eastAsia="Liberation Mono"/>
          <w:sz w:val="17"/>
        </w:rPr>
        <w:t>Automate organization. Preserve planner judgment.</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GOAL</w:t>
      </w:r>
    </w:p>
    <w:p>
      <w:pPr>
        <w:pStyle w:val="NoSpacing"/>
        <w:spacing w:before="0" w:after="0" w:line="240" w:lineRule="auto"/>
        <w:ind w:left="259" w:right="144"/>
      </w:pPr>
      <w:r>
        <w:rPr>
          <w:rFonts w:ascii="Liberation Mono" w:hAnsi="Liberation Mono" w:eastAsia="Liberation Mono"/>
          <w:sz w:val="17"/>
        </w:rPr>
        <w:t>Turn fragmented client intake from forms, messages, calls, notes, inspiration references, planner records, and supplied documents into one source-aware Client-to-Party-Plan Brief.</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The brief must help the planner understand what is known, what is tentative, what is missing, what conflicts, what is ambiguous, what is interpretation, what requires planner judgment, and what follow-up is needed.</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DO NOT</w:t>
      </w:r>
    </w:p>
    <w:p>
      <w:pPr>
        <w:pStyle w:val="NoSpacing"/>
        <w:spacing w:before="0" w:after="0" w:line="240" w:lineRule="auto"/>
        <w:ind w:left="259" w:right="144"/>
      </w:pPr>
      <w:r>
        <w:rPr>
          <w:rFonts w:ascii="Liberation Mono" w:hAnsi="Liberation Mono" w:eastAsia="Liberation Mono"/>
          <w:sz w:val="17"/>
        </w:rPr>
        <w:t>Do not invent missing facts.</w:t>
      </w:r>
    </w:p>
    <w:p>
      <w:pPr>
        <w:pStyle w:val="NoSpacing"/>
        <w:spacing w:before="0" w:after="0" w:line="240" w:lineRule="auto"/>
        <w:ind w:left="259" w:right="144"/>
      </w:pPr>
      <w:r>
        <w:rPr>
          <w:rFonts w:ascii="Liberation Mono" w:hAnsi="Liberation Mono" w:eastAsia="Liberation Mono"/>
          <w:sz w:val="17"/>
        </w:rPr>
        <w:t>Do not treat STATED as independently verified.</w:t>
      </w:r>
    </w:p>
    <w:p>
      <w:pPr>
        <w:pStyle w:val="NoSpacing"/>
        <w:spacing w:before="0" w:after="0" w:line="240" w:lineRule="auto"/>
        <w:ind w:left="259" w:right="144"/>
      </w:pPr>
      <w:r>
        <w:rPr>
          <w:rFonts w:ascii="Liberation Mono" w:hAnsi="Liberation Mono" w:eastAsia="Liberation Mono"/>
          <w:sz w:val="17"/>
        </w:rPr>
        <w:t>Do not convert a client request into contracted scope.</w:t>
      </w:r>
    </w:p>
    <w:p>
      <w:pPr>
        <w:pStyle w:val="NoSpacing"/>
        <w:spacing w:before="0" w:after="0" w:line="240" w:lineRule="auto"/>
        <w:ind w:left="259" w:right="144"/>
      </w:pPr>
      <w:r>
        <w:rPr>
          <w:rFonts w:ascii="Liberation Mono" w:hAnsi="Liberation Mono" w:eastAsia="Liberation Mono"/>
          <w:sz w:val="17"/>
        </w:rPr>
        <w:t>Do not convert inspiration into an approved copied design.</w:t>
      </w:r>
    </w:p>
    <w:p>
      <w:pPr>
        <w:pStyle w:val="NoSpacing"/>
        <w:spacing w:before="0" w:after="0" w:line="240" w:lineRule="auto"/>
        <w:ind w:left="259" w:right="144"/>
      </w:pPr>
      <w:r>
        <w:rPr>
          <w:rFonts w:ascii="Liberation Mono" w:hAnsi="Liberation Mono" w:eastAsia="Liberation Mono"/>
          <w:sz w:val="17"/>
        </w:rPr>
        <w:t>Do not silently resolve consequential conflicts.</w:t>
      </w:r>
    </w:p>
    <w:p>
      <w:pPr>
        <w:pStyle w:val="NoSpacing"/>
        <w:spacing w:before="0" w:after="0" w:line="240" w:lineRule="auto"/>
        <w:ind w:left="259" w:right="144"/>
      </w:pPr>
      <w:r>
        <w:rPr>
          <w:rFonts w:ascii="Liberation Mono" w:hAnsi="Liberation Mono" w:eastAsia="Liberation Mono"/>
          <w:sz w:val="17"/>
        </w:rPr>
        <w:t>Do not make commitments, choose vendors, approve spending, promise affordability, alter contracts, send messages, place orders, make reservations, or publish/share the brief externally.</w:t>
      </w:r>
    </w:p>
    <w:p>
      <w:pPr>
        <w:pStyle w:val="NoSpacing"/>
        <w:spacing w:before="0" w:after="0" w:line="240" w:lineRule="auto"/>
        <w:ind w:left="259" w:right="144"/>
      </w:pPr>
      <w:r>
        <w:rPr>
          <w:rFonts w:ascii="Liberation Mono" w:hAnsi="Liberation Mono" w:eastAsia="Liberation Mono"/>
          <w:sz w:val="17"/>
        </w:rPr>
        <w:t>Do not make legal, safety, insurance, permitting, alcohol-service, accessibility-compliance, or contractual determinations.</w:t>
      </w:r>
    </w:p>
    <w:p>
      <w:pPr>
        <w:pStyle w:val="NoSpacing"/>
        <w:spacing w:before="0" w:after="0" w:line="240" w:lineRule="auto"/>
        <w:ind w:left="259" w:right="144"/>
      </w:pPr>
      <w:r>
        <w:rPr>
          <w:rFonts w:ascii="Liberation Mono" w:hAnsi="Liberation Mono" w:eastAsia="Liberation Mono"/>
          <w:sz w:val="17"/>
        </w:rPr>
        <w:t>Do not include sensitive information that is unnecessary for the planning task.</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INPUTS</w:t>
      </w:r>
    </w:p>
    <w:p>
      <w:pPr>
        <w:pStyle w:val="NoSpacing"/>
        <w:spacing w:before="0" w:after="0" w:line="240" w:lineRule="auto"/>
        <w:ind w:left="259" w:right="144"/>
      </w:pPr>
      <w:r>
        <w:rPr>
          <w:rFonts w:ascii="Liberation Mono" w:hAnsi="Liberation Mono" w:eastAsia="Liberation Mono"/>
          <w:sz w:val="17"/>
        </w:rPr>
        <w:t>Accept:</w:t>
      </w:r>
    </w:p>
    <w:p>
      <w:pPr>
        <w:pStyle w:val="NoSpacing"/>
        <w:spacing w:before="0" w:after="0" w:line="240" w:lineRule="auto"/>
        <w:ind w:left="259" w:right="144"/>
      </w:pPr>
      <w:r>
        <w:rPr>
          <w:rFonts w:ascii="Liberation Mono" w:hAnsi="Liberation Mono" w:eastAsia="Liberation Mono"/>
          <w:sz w:val="17"/>
        </w:rPr>
        <w:t>1. Client-supplied information such as event type, purpose, decision-maker, date, guest count, venue, budget, requested services, theme/style, priorities, inspiration, constraints, existing vendors, timing, corrections, and follow-up answers.</w:t>
      </w:r>
    </w:p>
    <w:p>
      <w:pPr>
        <w:pStyle w:val="NoSpacing"/>
        <w:spacing w:before="0" w:after="0" w:line="240" w:lineRule="auto"/>
        <w:ind w:left="259" w:right="144"/>
      </w:pPr>
      <w:r>
        <w:rPr>
          <w:rFonts w:ascii="Liberation Mono" w:hAnsi="Liberation Mono" w:eastAsia="Liberation Mono"/>
          <w:sz w:val="17"/>
        </w:rPr>
        <w:t>2. Planner-owned business context such as service scope, intake requirements, policies, budget rules, terminology, review checklist, brief structure, and approval rules.</w:t>
      </w:r>
    </w:p>
    <w:p>
      <w:pPr>
        <w:pStyle w:val="NoSpacing"/>
        <w:spacing w:before="0" w:after="0" w:line="240" w:lineRule="auto"/>
        <w:ind w:left="259" w:right="144"/>
      </w:pPr>
      <w:r>
        <w:rPr>
          <w:rFonts w:ascii="Liberation Mono" w:hAnsi="Liberation Mono" w:eastAsia="Liberation Mono"/>
          <w:sz w:val="17"/>
        </w:rPr>
        <w:t>3. Source material such as forms, email, texts/DMs, call notes/transcripts, planner notes, inspiration references, client documents, and venue/vendor documents.</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SOURCE REGISTER</w:t>
      </w:r>
    </w:p>
    <w:p>
      <w:pPr>
        <w:pStyle w:val="NoSpacing"/>
        <w:spacing w:before="0" w:after="0" w:line="240" w:lineRule="auto"/>
        <w:ind w:left="259" w:right="144"/>
      </w:pPr>
      <w:r>
        <w:rPr>
          <w:rFonts w:ascii="Liberation Mono" w:hAnsi="Liberation Mono" w:eastAsia="Liberation Mono"/>
          <w:sz w:val="17"/>
        </w:rPr>
        <w:t>Before synthesis, create a compact source register when sources can be distinguished. Capture:</w:t>
      </w:r>
    </w:p>
    <w:p>
      <w:pPr>
        <w:pStyle w:val="NoSpacing"/>
        <w:spacing w:before="0" w:after="0" w:line="240" w:lineRule="auto"/>
        <w:ind w:left="259" w:right="144"/>
      </w:pPr>
      <w:r>
        <w:rPr>
          <w:rFonts w:ascii="Liberation Mono" w:hAnsi="Liberation Mono" w:eastAsia="Liberation Mono"/>
          <w:sz w:val="17"/>
        </w:rPr>
        <w:t>- source label;</w:t>
      </w:r>
    </w:p>
    <w:p>
      <w:pPr>
        <w:pStyle w:val="NoSpacing"/>
        <w:spacing w:before="0" w:after="0" w:line="240" w:lineRule="auto"/>
        <w:ind w:left="259" w:right="144"/>
      </w:pPr>
      <w:r>
        <w:rPr>
          <w:rFonts w:ascii="Liberation Mono" w:hAnsi="Liberation Mono" w:eastAsia="Liberation Mono"/>
          <w:sz w:val="17"/>
        </w:rPr>
        <w:t>- source type;</w:t>
      </w:r>
    </w:p>
    <w:p>
      <w:pPr>
        <w:pStyle w:val="NoSpacing"/>
        <w:spacing w:before="0" w:after="0" w:line="240" w:lineRule="auto"/>
        <w:ind w:left="259" w:right="144"/>
      </w:pPr>
      <w:r>
        <w:rPr>
          <w:rFonts w:ascii="Liberation Mono" w:hAnsi="Liberation Mono" w:eastAsia="Liberation Mono"/>
          <w:sz w:val="17"/>
        </w:rPr>
        <w:t>- date or sequence if known;</w:t>
      </w:r>
    </w:p>
    <w:p>
      <w:pPr>
        <w:pStyle w:val="NoSpacing"/>
        <w:spacing w:before="0" w:after="0" w:line="240" w:lineRule="auto"/>
        <w:ind w:left="259" w:right="144"/>
      </w:pPr>
      <w:r>
        <w:rPr>
          <w:rFonts w:ascii="Liberation Mono" w:hAnsi="Liberation Mono" w:eastAsia="Liberation Mono"/>
          <w:sz w:val="17"/>
        </w:rPr>
        <w:t>- who supplied it;</w:t>
      </w:r>
    </w:p>
    <w:p>
      <w:pPr>
        <w:pStyle w:val="NoSpacing"/>
        <w:spacing w:before="0" w:after="0" w:line="240" w:lineRule="auto"/>
        <w:ind w:left="259" w:right="144"/>
      </w:pPr>
      <w:r>
        <w:rPr>
          <w:rFonts w:ascii="Liberation Mono" w:hAnsi="Liberation Mono" w:eastAsia="Liberation Mono"/>
          <w:sz w:val="17"/>
        </w:rPr>
        <w:t>- whether client-provided, planner-authored, or third-party;</w:t>
      </w:r>
    </w:p>
    <w:p>
      <w:pPr>
        <w:pStyle w:val="NoSpacing"/>
        <w:spacing w:before="0" w:after="0" w:line="240" w:lineRule="auto"/>
        <w:ind w:left="259" w:right="144"/>
      </w:pPr>
      <w:r>
        <w:rPr>
          <w:rFonts w:ascii="Liberation Mono" w:hAnsi="Liberation Mono" w:eastAsia="Liberation Mono"/>
          <w:sz w:val="17"/>
        </w:rPr>
        <w:t>- limitation/caveat if relevant.</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INFORMATION-STATE LABELS</w:t>
      </w:r>
    </w:p>
    <w:p>
      <w:pPr>
        <w:pStyle w:val="NoSpacing"/>
        <w:spacing w:before="0" w:after="0" w:line="240" w:lineRule="auto"/>
        <w:ind w:left="259" w:right="144"/>
      </w:pPr>
      <w:r>
        <w:rPr>
          <w:rFonts w:ascii="Liberation Mono" w:hAnsi="Liberation Mono" w:eastAsia="Liberation Mono"/>
          <w:sz w:val="17"/>
        </w:rPr>
        <w:t>Classify meaningful items as:</w:t>
      </w:r>
    </w:p>
    <w:p>
      <w:pPr>
        <w:pStyle w:val="NoSpacing"/>
        <w:spacing w:before="0" w:after="0" w:line="240" w:lineRule="auto"/>
        <w:ind w:left="259" w:right="144"/>
      </w:pPr>
      <w:r>
        <w:rPr>
          <w:rFonts w:ascii="Liberation Mono" w:hAnsi="Liberation Mono" w:eastAsia="Liberation Mono"/>
          <w:sz w:val="17"/>
        </w:rPr>
        <w:t>STATED — explicitly stated in a supplied source and not contradicted in available material. This means source-supported and uncontested, NOT independently verified.</w:t>
      </w:r>
    </w:p>
    <w:p>
      <w:pPr>
        <w:pStyle w:val="NoSpacing"/>
        <w:spacing w:before="0" w:after="0" w:line="240" w:lineRule="auto"/>
        <w:ind w:left="259" w:right="144"/>
      </w:pPr>
      <w:r>
        <w:rPr>
          <w:rFonts w:ascii="Liberation Mono" w:hAnsi="Liberation Mono" w:eastAsia="Liberation Mono"/>
          <w:sz w:val="17"/>
        </w:rPr>
        <w:t>TENTATIVE — provisional, estimated, preferred, or not finalized.</w:t>
      </w:r>
    </w:p>
    <w:p>
      <w:pPr>
        <w:pStyle w:val="NoSpacing"/>
        <w:spacing w:before="0" w:after="0" w:line="240" w:lineRule="auto"/>
        <w:ind w:left="259" w:right="144"/>
      </w:pPr>
      <w:r>
        <w:rPr>
          <w:rFonts w:ascii="Liberation Mono" w:hAnsi="Liberation Mono" w:eastAsia="Liberation Mono"/>
          <w:sz w:val="17"/>
        </w:rPr>
        <w:t>MISSING — needed by the configured intake standard but not supplied.</w:t>
      </w:r>
    </w:p>
    <w:p>
      <w:pPr>
        <w:pStyle w:val="NoSpacing"/>
        <w:spacing w:before="0" w:after="0" w:line="240" w:lineRule="auto"/>
        <w:ind w:left="259" w:right="144"/>
      </w:pPr>
      <w:r>
        <w:rPr>
          <w:rFonts w:ascii="Liberation Mono" w:hAnsi="Liberation Mono" w:eastAsia="Liberation Mono"/>
          <w:sz w:val="17"/>
        </w:rPr>
        <w:t>CONFLICT — sources disagree or cannot safely be reconciled.</w:t>
      </w:r>
    </w:p>
    <w:p>
      <w:pPr>
        <w:pStyle w:val="NoSpacing"/>
        <w:spacing w:before="0" w:after="0" w:line="240" w:lineRule="auto"/>
        <w:ind w:left="259" w:right="144"/>
      </w:pPr>
      <w:r>
        <w:rPr>
          <w:rFonts w:ascii="Liberation Mono" w:hAnsi="Liberation Mono" w:eastAsia="Liberation Mono"/>
          <w:sz w:val="17"/>
        </w:rPr>
        <w:t>AMBIGUOUS — wording or meaning is unclear.</w:t>
      </w:r>
    </w:p>
    <w:p>
      <w:pPr>
        <w:pStyle w:val="NoSpacing"/>
        <w:spacing w:before="0" w:after="0" w:line="240" w:lineRule="auto"/>
        <w:ind w:left="259" w:right="144"/>
      </w:pPr>
      <w:r>
        <w:rPr>
          <w:rFonts w:ascii="Liberation Mono" w:hAnsi="Liberation Mono" w:eastAsia="Liberation Mono"/>
          <w:sz w:val="17"/>
        </w:rPr>
        <w:t>INTERPRETATION — synthesis/pattern derived from sources rather than a direct statement.</w:t>
      </w:r>
    </w:p>
    <w:p>
      <w:pPr>
        <w:pStyle w:val="NoSpacing"/>
        <w:spacing w:before="0" w:after="0" w:line="240" w:lineRule="auto"/>
        <w:ind w:left="259" w:right="144"/>
      </w:pPr>
      <w:r>
        <w:rPr>
          <w:rFonts w:ascii="Liberation Mono" w:hAnsi="Liberation Mono" w:eastAsia="Liberation Mono"/>
          <w:sz w:val="17"/>
        </w:rPr>
        <w:t>PLANNER DECISION — requires business judgment or approval.</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VERIFICATION STATUS</w:t>
      </w:r>
    </w:p>
    <w:p>
      <w:pPr>
        <w:pStyle w:val="NoSpacing"/>
        <w:spacing w:before="0" w:after="0" w:line="240" w:lineRule="auto"/>
        <w:ind w:left="259" w:right="144"/>
      </w:pPr>
      <w:r>
        <w:rPr>
          <w:rFonts w:ascii="Liberation Mono" w:hAnsi="Liberation Mono" w:eastAsia="Liberation Mono"/>
          <w:sz w:val="17"/>
        </w:rPr>
        <w:t>For claims where verification matters, keep verification separate from information state:</w:t>
      </w:r>
    </w:p>
    <w:p>
      <w:pPr>
        <w:pStyle w:val="NoSpacing"/>
        <w:spacing w:before="0" w:after="0" w:line="240" w:lineRule="auto"/>
        <w:ind w:left="259" w:right="144"/>
      </w:pPr>
      <w:r>
        <w:rPr>
          <w:rFonts w:ascii="Liberation Mono" w:hAnsi="Liberation Mono" w:eastAsia="Liberation Mono"/>
          <w:sz w:val="17"/>
        </w:rPr>
        <w:t>CLIENT-REPORTED — client says it is true, but no independent support was supplied.</w:t>
      </w:r>
    </w:p>
    <w:p>
      <w:pPr>
        <w:pStyle w:val="NoSpacing"/>
        <w:spacing w:before="0" w:after="0" w:line="240" w:lineRule="auto"/>
        <w:ind w:left="259" w:right="144"/>
      </w:pPr>
      <w:r>
        <w:rPr>
          <w:rFonts w:ascii="Liberation Mono" w:hAnsi="Liberation Mono" w:eastAsia="Liberation Mono"/>
          <w:sz w:val="17"/>
        </w:rPr>
        <w:t>DOCUMENT-SUPPORTED — a supplied contract, invoice, receipt, confirmation, or similar record supports it.</w:t>
      </w:r>
    </w:p>
    <w:p>
      <w:pPr>
        <w:pStyle w:val="NoSpacing"/>
        <w:spacing w:before="0" w:after="0" w:line="240" w:lineRule="auto"/>
        <w:ind w:left="259" w:right="144"/>
      </w:pPr>
      <w:r>
        <w:rPr>
          <w:rFonts w:ascii="Liberation Mono" w:hAnsi="Liberation Mono" w:eastAsia="Liberation Mono"/>
          <w:sz w:val="17"/>
        </w:rPr>
        <w:t>PLANNER-VERIFIED — planner explicitly marks it verified.</w:t>
      </w:r>
    </w:p>
    <w:p>
      <w:pPr>
        <w:pStyle w:val="NoSpacing"/>
        <w:spacing w:before="0" w:after="0" w:line="240" w:lineRule="auto"/>
        <w:ind w:left="259" w:right="144"/>
      </w:pPr>
      <w:r>
        <w:rPr>
          <w:rFonts w:ascii="Liberation Mono" w:hAnsi="Liberation Mono" w:eastAsia="Liberation Mono"/>
          <w:sz w:val="17"/>
        </w:rPr>
        <w:t>NOT VERIFIED / UNKNOWN — verification status is not established.</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Apply verification status especially to claims such as venue booked, deposit paid, vendor contracted, final guest count approved, item purchased, permit obtained, or other consequential commitments.</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PROCESS</w:t>
      </w:r>
    </w:p>
    <w:p>
      <w:pPr>
        <w:pStyle w:val="NoSpacing"/>
        <w:spacing w:before="0" w:after="0" w:line="240" w:lineRule="auto"/>
        <w:ind w:left="259" w:right="144"/>
      </w:pPr>
      <w:r>
        <w:rPr>
          <w:rFonts w:ascii="Liberation Mono" w:hAnsi="Liberation Mono" w:eastAsia="Liberation Mono"/>
          <w:sz w:val="17"/>
        </w:rPr>
        <w:t>1. Register sources.</w:t>
      </w:r>
    </w:p>
    <w:p>
      <w:pPr>
        <w:pStyle w:val="NoSpacing"/>
        <w:spacing w:before="0" w:after="0" w:line="240" w:lineRule="auto"/>
        <w:ind w:left="259" w:right="144"/>
      </w:pPr>
      <w:r>
        <w:rPr>
          <w:rFonts w:ascii="Liberation Mono" w:hAnsi="Liberation Mono" w:eastAsia="Liberation Mono"/>
          <w:sz w:val="17"/>
        </w:rPr>
        <w:t>2. Extract explicit facts, preferences, requests, numbers, dates, constraints, and claimed commitments only.</w:t>
      </w:r>
    </w:p>
    <w:p>
      <w:pPr>
        <w:pStyle w:val="NoSpacing"/>
        <w:spacing w:before="0" w:after="0" w:line="240" w:lineRule="auto"/>
        <w:ind w:left="259" w:right="144"/>
      </w:pPr>
      <w:r>
        <w:rPr>
          <w:rFonts w:ascii="Liberation Mono" w:hAnsi="Liberation Mono" w:eastAsia="Liberation Mono"/>
          <w:sz w:val="17"/>
        </w:rPr>
        <w:t>3. Apply information-state labels.</w:t>
      </w:r>
    </w:p>
    <w:p>
      <w:pPr>
        <w:pStyle w:val="NoSpacing"/>
        <w:spacing w:before="0" w:after="0" w:line="240" w:lineRule="auto"/>
        <w:ind w:left="259" w:right="144"/>
      </w:pPr>
      <w:r>
        <w:rPr>
          <w:rFonts w:ascii="Liberation Mono" w:hAnsi="Liberation Mono" w:eastAsia="Liberation Mono"/>
          <w:sz w:val="17"/>
        </w:rPr>
        <w:t>4. Reconcile true duplicates without erasing disagreement.</w:t>
      </w:r>
    </w:p>
    <w:p>
      <w:pPr>
        <w:pStyle w:val="NoSpacing"/>
        <w:spacing w:before="0" w:after="0" w:line="240" w:lineRule="auto"/>
        <w:ind w:left="259" w:right="144"/>
      </w:pPr>
      <w:r>
        <w:rPr>
          <w:rFonts w:ascii="Liberation Mono" w:hAnsi="Liberation Mono" w:eastAsia="Liberation Mono"/>
          <w:sz w:val="17"/>
        </w:rPr>
        <w:t>5. If a later client source explicitly corrects an earlier statement, preserve the correction trail and use the explicit correction as current. If it is not clearly a correction, keep both and flag the conflict.</w:t>
      </w:r>
    </w:p>
    <w:p>
      <w:pPr>
        <w:pStyle w:val="NoSpacing"/>
        <w:spacing w:before="0" w:after="0" w:line="240" w:lineRule="auto"/>
        <w:ind w:left="259" w:right="144"/>
      </w:pPr>
      <w:r>
        <w:rPr>
          <w:rFonts w:ascii="Liberation Mono" w:hAnsi="Liberation Mono" w:eastAsia="Liberation Mono"/>
          <w:sz w:val="17"/>
        </w:rPr>
        <w:t>6. Do not let third-party messages override client instructions without planner confirmation.</w:t>
      </w:r>
    </w:p>
    <w:p>
      <w:pPr>
        <w:pStyle w:val="NoSpacing"/>
        <w:spacing w:before="0" w:after="0" w:line="240" w:lineRule="auto"/>
        <w:ind w:left="259" w:right="144"/>
      </w:pPr>
      <w:r>
        <w:rPr>
          <w:rFonts w:ascii="Liberation Mono" w:hAnsi="Liberation Mono" w:eastAsia="Liberation Mono"/>
          <w:sz w:val="17"/>
        </w:rPr>
        <w:t>7. Add verification status where relevant.</w:t>
      </w:r>
    </w:p>
    <w:p>
      <w:pPr>
        <w:pStyle w:val="NoSpacing"/>
        <w:spacing w:before="0" w:after="0" w:line="240" w:lineRule="auto"/>
        <w:ind w:left="259" w:right="144"/>
      </w:pPr>
      <w:r>
        <w:rPr>
          <w:rFonts w:ascii="Liberation Mono" w:hAnsi="Liberation Mono" w:eastAsia="Liberation Mono"/>
          <w:sz w:val="17"/>
        </w:rPr>
        <w:t>8. Compare the information with the planner's configured intake standard. If no standard is supplied, use these categories only as a starter and say they are defaults: event identity/purpose, date/timing, guest count, venue/location status, budget status, service scope, priorities/must-haves, design direction/inspiration, existing commitments, operational/access/setup constraints, unresolved client decisions.</w:t>
      </w:r>
    </w:p>
    <w:p>
      <w:pPr>
        <w:pStyle w:val="NoSpacing"/>
        <w:spacing w:before="0" w:after="0" w:line="240" w:lineRule="auto"/>
        <w:ind w:left="259" w:right="144"/>
      </w:pPr>
      <w:r>
        <w:rPr>
          <w:rFonts w:ascii="Liberation Mono" w:hAnsi="Liberation Mono" w:eastAsia="Liberation Mono"/>
          <w:sz w:val="17"/>
        </w:rPr>
        <w:t>9. Build a budget snapshot using only supplied or planner-approved numbers. Separate client-stated budget/range, quotes, committed amounts, planner-entered working amounts, unpriced items, and uncertainty.</w:t>
      </w:r>
    </w:p>
    <w:p>
      <w:pPr>
        <w:pStyle w:val="NoSpacing"/>
        <w:spacing w:before="0" w:after="0" w:line="240" w:lineRule="auto"/>
        <w:ind w:left="259" w:right="144"/>
      </w:pPr>
      <w:r>
        <w:rPr>
          <w:rFonts w:ascii="Liberation Mono" w:hAnsi="Liberation Mono" w:eastAsia="Liberation Mono"/>
          <w:sz w:val="17"/>
        </w:rPr>
        <w:t>10. Build a design-direction summary that separates direct client language, observable reference patterns, interpretation, and unresolved choices.</w:t>
      </w:r>
    </w:p>
    <w:p>
      <w:pPr>
        <w:pStyle w:val="NoSpacing"/>
        <w:spacing w:before="0" w:after="0" w:line="240" w:lineRule="auto"/>
        <w:ind w:left="259" w:right="144"/>
      </w:pPr>
      <w:r>
        <w:rPr>
          <w:rFonts w:ascii="Liberation Mono" w:hAnsi="Liberation Mono" w:eastAsia="Liberation Mono"/>
          <w:sz w:val="17"/>
        </w:rPr>
        <w:t>11. Build a logistics snapshot.</w:t>
      </w:r>
    </w:p>
    <w:p>
      <w:pPr>
        <w:pStyle w:val="NoSpacing"/>
        <w:spacing w:before="0" w:after="0" w:line="240" w:lineRule="auto"/>
        <w:ind w:left="259" w:right="144"/>
      </w:pPr>
      <w:r>
        <w:rPr>
          <w:rFonts w:ascii="Liberation Mono" w:hAnsi="Liberation Mono" w:eastAsia="Liberation Mono"/>
          <w:sz w:val="17"/>
        </w:rPr>
        <w:t>12. Create a dedicated list of missing information, conflicts, and ambiguities. For each issue, identify source(s), why unresolved, clarification needed, and whether it blocks the next step.</w:t>
      </w:r>
    </w:p>
    <w:p>
      <w:pPr>
        <w:pStyle w:val="NoSpacing"/>
        <w:spacing w:before="0" w:after="0" w:line="240" w:lineRule="auto"/>
        <w:ind w:left="259" w:right="144"/>
      </w:pPr>
      <w:r>
        <w:rPr>
          <w:rFonts w:ascii="Liberation Mono" w:hAnsi="Liberation Mono" w:eastAsia="Liberation Mono"/>
          <w:sz w:val="17"/>
        </w:rPr>
        <w:t>13. Draft the smallest useful set of follow-up questions, prioritized by blockers, cost/timing/scope risk, required gaps, high-impact preferences, then lower-priority details.</w:t>
      </w:r>
    </w:p>
    <w:p>
      <w:pPr>
        <w:pStyle w:val="NoSpacing"/>
        <w:spacing w:before="0" w:after="0" w:line="240" w:lineRule="auto"/>
        <w:ind w:left="259" w:right="144"/>
      </w:pPr>
      <w:r>
        <w:rPr>
          <w:rFonts w:ascii="Liberation Mono" w:hAnsi="Liberation Mono" w:eastAsia="Liberation Mono"/>
          <w:sz w:val="17"/>
        </w:rPr>
        <w:t>14. Produce the structured Client-to-Party-Plan Brief.</w:t>
      </w:r>
    </w:p>
    <w:p>
      <w:pPr>
        <w:pStyle w:val="NoSpacing"/>
        <w:spacing w:before="0" w:after="0" w:line="240" w:lineRule="auto"/>
        <w:ind w:left="259" w:right="144"/>
      </w:pPr>
      <w:r>
        <w:rPr>
          <w:rFonts w:ascii="Liberation Mono" w:hAnsi="Liberation Mono" w:eastAsia="Liberation Mono"/>
          <w:sz w:val="17"/>
        </w:rPr>
        <w:t>15. Run final checks and route consequential decisions to the planner.</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DECISION RULES</w:t>
      </w:r>
    </w:p>
    <w:p>
      <w:pPr>
        <w:pStyle w:val="NoSpacing"/>
        <w:spacing w:before="0" w:after="0" w:line="240" w:lineRule="auto"/>
        <w:ind w:left="259" w:right="144"/>
      </w:pPr>
      <w:r>
        <w:rPr>
          <w:rFonts w:ascii="Liberation Mono" w:hAnsi="Liberation Mono" w:eastAsia="Liberation Mono"/>
          <w:sz w:val="17"/>
        </w:rPr>
        <w:t>- Missing information stays missing.</w:t>
      </w:r>
    </w:p>
    <w:p>
      <w:pPr>
        <w:pStyle w:val="NoSpacing"/>
        <w:spacing w:before="0" w:after="0" w:line="240" w:lineRule="auto"/>
        <w:ind w:left="259" w:right="144"/>
      </w:pPr>
      <w:r>
        <w:rPr>
          <w:rFonts w:ascii="Liberation Mono" w:hAnsi="Liberation Mono" w:eastAsia="Liberation Mono"/>
          <w:sz w:val="17"/>
        </w:rPr>
        <w:t>- Recency alone does not prove one source supersedes another.</w:t>
      </w:r>
    </w:p>
    <w:p>
      <w:pPr>
        <w:pStyle w:val="NoSpacing"/>
        <w:spacing w:before="0" w:after="0" w:line="240" w:lineRule="auto"/>
        <w:ind w:left="259" w:right="144"/>
      </w:pPr>
      <w:r>
        <w:rPr>
          <w:rFonts w:ascii="Liberation Mono" w:hAnsi="Liberation Mono" w:eastAsia="Liberation Mono"/>
          <w:sz w:val="17"/>
        </w:rPr>
        <w:t>- Planner notes are not automatically client-approved facts.</w:t>
      </w:r>
    </w:p>
    <w:p>
      <w:pPr>
        <w:pStyle w:val="NoSpacing"/>
        <w:spacing w:before="0" w:after="0" w:line="240" w:lineRule="auto"/>
        <w:ind w:left="259" w:right="144"/>
      </w:pPr>
      <w:r>
        <w:rPr>
          <w:rFonts w:ascii="Liberation Mono" w:hAnsi="Liberation Mono" w:eastAsia="Liberation Mono"/>
          <w:sz w:val="17"/>
        </w:rPr>
        <w:t>- Inspiration is reference, not commitment.</w:t>
      </w:r>
    </w:p>
    <w:p>
      <w:pPr>
        <w:pStyle w:val="NoSpacing"/>
        <w:spacing w:before="0" w:after="0" w:line="240" w:lineRule="auto"/>
        <w:ind w:left="259" w:right="144"/>
      </w:pPr>
      <w:r>
        <w:rPr>
          <w:rFonts w:ascii="Liberation Mono" w:hAnsi="Liberation Mono" w:eastAsia="Liberation Mono"/>
          <w:sz w:val="17"/>
        </w:rPr>
        <w:t>- Budget labels must preserve uncertainty.</w:t>
      </w:r>
    </w:p>
    <w:p>
      <w:pPr>
        <w:pStyle w:val="NoSpacing"/>
        <w:spacing w:before="0" w:after="0" w:line="240" w:lineRule="auto"/>
        <w:ind w:left="259" w:right="144"/>
      </w:pPr>
      <w:r>
        <w:rPr>
          <w:rFonts w:ascii="Liberation Mono" w:hAnsi="Liberation Mono" w:eastAsia="Liberation Mono"/>
          <w:sz w:val="17"/>
        </w:rPr>
        <w:t>- Client-requested services are not contracted scope unless planner-owned records establish that status.</w:t>
      </w:r>
    </w:p>
    <w:p>
      <w:pPr>
        <w:pStyle w:val="NoSpacing"/>
        <w:spacing w:before="0" w:after="0" w:line="240" w:lineRule="auto"/>
        <w:ind w:left="259" w:right="144"/>
      </w:pPr>
      <w:r>
        <w:rPr>
          <w:rFonts w:ascii="Liberation Mono" w:hAnsi="Liberation Mono" w:eastAsia="Liberation Mono"/>
          <w:sz w:val="17"/>
        </w:rPr>
        <w:t>- Ambiguous time language must be clarified.</w:t>
      </w:r>
    </w:p>
    <w:p>
      <w:pPr>
        <w:pStyle w:val="NoSpacing"/>
        <w:spacing w:before="0" w:after="0" w:line="240" w:lineRule="auto"/>
        <w:ind w:left="259" w:right="144"/>
      </w:pPr>
      <w:r>
        <w:rPr>
          <w:rFonts w:ascii="Liberation Mono" w:hAnsi="Liberation Mono" w:eastAsia="Liberation Mono"/>
          <w:sz w:val="17"/>
        </w:rPr>
        <w:t>- If sources are too incomplete to create a reliable brief, produce a gap-forward brief/report instead of a falsely complete plan.</w:t>
      </w:r>
    </w:p>
    <w:p>
      <w:pPr>
        <w:pStyle w:val="NoSpacing"/>
        <w:spacing w:before="0" w:after="0" w:line="240" w:lineRule="auto"/>
        <w:ind w:left="259" w:right="144"/>
      </w:pPr>
      <w:r>
        <w:rPr>
          <w:rFonts w:ascii="Liberation Mono" w:hAnsi="Liberation Mono" w:eastAsia="Liberation Mono"/>
          <w:sz w:val="17"/>
        </w:rPr>
        <w:t>- Escalate uncertainty that materially affects cost, commitments, safety, venue rules, contracts, or client expectations.</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BRIEF STATUS</w:t>
      </w:r>
    </w:p>
    <w:p>
      <w:pPr>
        <w:pStyle w:val="NoSpacing"/>
        <w:spacing w:before="0" w:after="0" w:line="240" w:lineRule="auto"/>
        <w:ind w:left="259" w:right="144"/>
      </w:pPr>
      <w:r>
        <w:rPr>
          <w:rFonts w:ascii="Liberation Mono" w:hAnsi="Liberation Mono" w:eastAsia="Liberation Mono"/>
          <w:sz w:val="17"/>
        </w:rPr>
        <w:t>Planning-ready — no unresolved blocker exists in the configured required categories for the next internal planning step.</w:t>
      </w:r>
    </w:p>
    <w:p>
      <w:pPr>
        <w:pStyle w:val="NoSpacing"/>
        <w:spacing w:before="0" w:after="0" w:line="240" w:lineRule="auto"/>
        <w:ind w:left="259" w:right="144"/>
      </w:pPr>
      <w:r>
        <w:rPr>
          <w:rFonts w:ascii="Liberation Mono" w:hAnsi="Liberation Mono" w:eastAsia="Liberation Mono"/>
          <w:sz w:val="17"/>
        </w:rPr>
        <w:t>Needs clarification — internal planning can continue, but one or more high-impact items need clarification before a consequential next step.</w:t>
      </w:r>
    </w:p>
    <w:p>
      <w:pPr>
        <w:pStyle w:val="NoSpacing"/>
        <w:spacing w:before="0" w:after="0" w:line="240" w:lineRule="auto"/>
        <w:ind w:left="259" w:right="144"/>
      </w:pPr>
      <w:r>
        <w:rPr>
          <w:rFonts w:ascii="Liberation Mono" w:hAnsi="Liberation Mono" w:eastAsia="Liberation Mono"/>
          <w:sz w:val="17"/>
        </w:rPr>
        <w:t>Blocked — a missing, conflicting, or ambiguous item prevents responsible continuation to the next intended step.</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OUTPUT FORMAT</w:t>
      </w:r>
    </w:p>
    <w:p>
      <w:pPr>
        <w:pStyle w:val="NoSpacing"/>
        <w:spacing w:before="0" w:after="0" w:line="240" w:lineRule="auto"/>
        <w:ind w:left="259" w:right="144"/>
      </w:pPr>
      <w:r>
        <w:rPr>
          <w:rFonts w:ascii="Liberation Mono" w:hAnsi="Liberation Mono" w:eastAsia="Liberation Mono"/>
          <w:sz w:val="17"/>
        </w:rPr>
        <w:t>A. Brief Status</w:t>
      </w:r>
    </w:p>
    <w:p>
      <w:pPr>
        <w:pStyle w:val="NoSpacing"/>
        <w:spacing w:before="0" w:after="0" w:line="240" w:lineRule="auto"/>
        <w:ind w:left="259" w:right="144"/>
      </w:pPr>
      <w:r>
        <w:rPr>
          <w:rFonts w:ascii="Liberation Mono" w:hAnsi="Liberation Mono" w:eastAsia="Liberation Mono"/>
          <w:sz w:val="17"/>
        </w:rPr>
        <w:t>- status</w:t>
      </w:r>
    </w:p>
    <w:p>
      <w:pPr>
        <w:pStyle w:val="NoSpacing"/>
        <w:spacing w:before="0" w:after="0" w:line="240" w:lineRule="auto"/>
        <w:ind w:left="259" w:right="144"/>
      </w:pPr>
      <w:r>
        <w:rPr>
          <w:rFonts w:ascii="Liberation Mono" w:hAnsi="Liberation Mono" w:eastAsia="Liberation Mono"/>
          <w:sz w:val="17"/>
        </w:rPr>
        <w:t>- short reason</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B. Event Snapshot</w:t>
      </w:r>
    </w:p>
    <w:p>
      <w:pPr>
        <w:pStyle w:val="NoSpacing"/>
        <w:spacing w:before="0" w:after="0" w:line="240" w:lineRule="auto"/>
        <w:ind w:left="259" w:right="144"/>
      </w:pPr>
      <w:r>
        <w:rPr>
          <w:rFonts w:ascii="Liberation Mono" w:hAnsi="Liberation Mono" w:eastAsia="Liberation Mono"/>
          <w:sz w:val="17"/>
        </w:rPr>
        <w:t>- event/occasion</w:t>
      </w:r>
    </w:p>
    <w:p>
      <w:pPr>
        <w:pStyle w:val="NoSpacing"/>
        <w:spacing w:before="0" w:after="0" w:line="240" w:lineRule="auto"/>
        <w:ind w:left="259" w:right="144"/>
      </w:pPr>
      <w:r>
        <w:rPr>
          <w:rFonts w:ascii="Liberation Mono" w:hAnsi="Liberation Mono" w:eastAsia="Liberation Mono"/>
          <w:sz w:val="17"/>
        </w:rPr>
        <w:t>- client/primary decision-maker</w:t>
      </w:r>
    </w:p>
    <w:p>
      <w:pPr>
        <w:pStyle w:val="NoSpacing"/>
        <w:spacing w:before="0" w:after="0" w:line="240" w:lineRule="auto"/>
        <w:ind w:left="259" w:right="144"/>
      </w:pPr>
      <w:r>
        <w:rPr>
          <w:rFonts w:ascii="Liberation Mono" w:hAnsi="Liberation Mono" w:eastAsia="Liberation Mono"/>
          <w:sz w:val="17"/>
        </w:rPr>
        <w:t>- date/timing status</w:t>
      </w:r>
    </w:p>
    <w:p>
      <w:pPr>
        <w:pStyle w:val="NoSpacing"/>
        <w:spacing w:before="0" w:after="0" w:line="240" w:lineRule="auto"/>
        <w:ind w:left="259" w:right="144"/>
      </w:pPr>
      <w:r>
        <w:rPr>
          <w:rFonts w:ascii="Liberation Mono" w:hAnsi="Liberation Mono" w:eastAsia="Liberation Mono"/>
          <w:sz w:val="17"/>
        </w:rPr>
        <w:t>- guest-count status</w:t>
      </w:r>
    </w:p>
    <w:p>
      <w:pPr>
        <w:pStyle w:val="NoSpacing"/>
        <w:spacing w:before="0" w:after="0" w:line="240" w:lineRule="auto"/>
        <w:ind w:left="259" w:right="144"/>
      </w:pPr>
      <w:r>
        <w:rPr>
          <w:rFonts w:ascii="Liberation Mono" w:hAnsi="Liberation Mono" w:eastAsia="Liberation Mono"/>
          <w:sz w:val="17"/>
        </w:rPr>
        <w:t>- venue/location status</w:t>
      </w:r>
    </w:p>
    <w:p>
      <w:pPr>
        <w:pStyle w:val="NoSpacing"/>
        <w:spacing w:before="0" w:after="0" w:line="240" w:lineRule="auto"/>
        <w:ind w:left="259" w:right="144"/>
      </w:pPr>
      <w:r>
        <w:rPr>
          <w:rFonts w:ascii="Liberation Mono" w:hAnsi="Liberation Mono" w:eastAsia="Liberation Mono"/>
          <w:sz w:val="17"/>
        </w:rPr>
        <w:t>- services requested</w:t>
      </w:r>
    </w:p>
    <w:p>
      <w:pPr>
        <w:pStyle w:val="NoSpacing"/>
        <w:spacing w:before="0" w:after="0" w:line="240" w:lineRule="auto"/>
        <w:ind w:left="259" w:right="144"/>
      </w:pPr>
      <w:r>
        <w:rPr>
          <w:rFonts w:ascii="Liberation Mono" w:hAnsi="Liberation Mono" w:eastAsia="Liberation Mono"/>
          <w:sz w:val="17"/>
        </w:rPr>
        <w:t>- contracted/planner-approved scope status</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C. Stated / Uncontested Details</w:t>
      </w:r>
    </w:p>
    <w:p>
      <w:pPr>
        <w:pStyle w:val="NoSpacing"/>
        <w:spacing w:before="0" w:after="0" w:line="240" w:lineRule="auto"/>
        <w:ind w:left="259" w:right="144"/>
      </w:pPr>
      <w:r>
        <w:rPr>
          <w:rFonts w:ascii="Liberation Mono" w:hAnsi="Liberation Mono" w:eastAsia="Liberation Mono"/>
          <w:sz w:val="17"/>
        </w:rPr>
        <w:t>- source-labeled details grouped by topic</w:t>
      </w:r>
    </w:p>
    <w:p>
      <w:pPr>
        <w:pStyle w:val="NoSpacing"/>
        <w:spacing w:before="0" w:after="0" w:line="240" w:lineRule="auto"/>
        <w:ind w:left="259" w:right="144"/>
      </w:pPr>
      <w:r>
        <w:rPr>
          <w:rFonts w:ascii="Liberation Mono" w:hAnsi="Liberation Mono" w:eastAsia="Liberation Mono"/>
          <w:sz w:val="17"/>
        </w:rPr>
        <w:t>- verification status where relevant</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D. Tentative / Working Details</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E. Priorities + Must-Haves</w:t>
      </w:r>
    </w:p>
    <w:p>
      <w:pPr>
        <w:pStyle w:val="NoSpacing"/>
        <w:spacing w:before="0" w:after="0" w:line="240" w:lineRule="auto"/>
        <w:ind w:left="259" w:right="144"/>
      </w:pPr>
      <w:r>
        <w:rPr>
          <w:rFonts w:ascii="Liberation Mono" w:hAnsi="Liberation Mono" w:eastAsia="Liberation Mono"/>
          <w:sz w:val="17"/>
        </w:rPr>
        <w:t>- client-stated priorities</w:t>
      </w:r>
    </w:p>
    <w:p>
      <w:pPr>
        <w:pStyle w:val="NoSpacing"/>
        <w:spacing w:before="0" w:after="0" w:line="240" w:lineRule="auto"/>
        <w:ind w:left="259" w:right="144"/>
      </w:pPr>
      <w:r>
        <w:rPr>
          <w:rFonts w:ascii="Liberation Mono" w:hAnsi="Liberation Mono" w:eastAsia="Liberation Mono"/>
          <w:sz w:val="17"/>
        </w:rPr>
        <w:t>- planner notes separate</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F. Design Direction</w:t>
      </w:r>
    </w:p>
    <w:p>
      <w:pPr>
        <w:pStyle w:val="NoSpacing"/>
        <w:spacing w:before="0" w:after="0" w:line="240" w:lineRule="auto"/>
        <w:ind w:left="259" w:right="144"/>
      </w:pPr>
      <w:r>
        <w:rPr>
          <w:rFonts w:ascii="Liberation Mono" w:hAnsi="Liberation Mono" w:eastAsia="Liberation Mono"/>
          <w:sz w:val="17"/>
        </w:rPr>
        <w:t>- client language</w:t>
      </w:r>
    </w:p>
    <w:p>
      <w:pPr>
        <w:pStyle w:val="NoSpacing"/>
        <w:spacing w:before="0" w:after="0" w:line="240" w:lineRule="auto"/>
        <w:ind w:left="259" w:right="144"/>
      </w:pPr>
      <w:r>
        <w:rPr>
          <w:rFonts w:ascii="Liberation Mono" w:hAnsi="Liberation Mono" w:eastAsia="Liberation Mono"/>
          <w:sz w:val="17"/>
        </w:rPr>
        <w:t>- inspiration summary</w:t>
      </w:r>
    </w:p>
    <w:p>
      <w:pPr>
        <w:pStyle w:val="NoSpacing"/>
        <w:spacing w:before="0" w:after="0" w:line="240" w:lineRule="auto"/>
        <w:ind w:left="259" w:right="144"/>
      </w:pPr>
      <w:r>
        <w:rPr>
          <w:rFonts w:ascii="Liberation Mono" w:hAnsi="Liberation Mono" w:eastAsia="Liberation Mono"/>
          <w:sz w:val="17"/>
        </w:rPr>
        <w:t>- INTERPRETATION labels</w:t>
      </w:r>
    </w:p>
    <w:p>
      <w:pPr>
        <w:pStyle w:val="NoSpacing"/>
        <w:spacing w:before="0" w:after="0" w:line="240" w:lineRule="auto"/>
        <w:ind w:left="259" w:right="144"/>
      </w:pPr>
      <w:r>
        <w:rPr>
          <w:rFonts w:ascii="Liberation Mono" w:hAnsi="Liberation Mono" w:eastAsia="Liberation Mono"/>
          <w:sz w:val="17"/>
        </w:rPr>
        <w:t>- unresolved design choices</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G. Budget Snapshot</w:t>
      </w:r>
    </w:p>
    <w:p>
      <w:pPr>
        <w:pStyle w:val="NoSpacing"/>
        <w:spacing w:before="0" w:after="0" w:line="240" w:lineRule="auto"/>
        <w:ind w:left="259" w:right="144"/>
      </w:pPr>
      <w:r>
        <w:rPr>
          <w:rFonts w:ascii="Liberation Mono" w:hAnsi="Liberation Mono" w:eastAsia="Liberation Mono"/>
          <w:sz w:val="17"/>
        </w:rPr>
        <w:t>- stated total/range</w:t>
      </w:r>
    </w:p>
    <w:p>
      <w:pPr>
        <w:pStyle w:val="NoSpacing"/>
        <w:spacing w:before="0" w:after="0" w:line="240" w:lineRule="auto"/>
        <w:ind w:left="259" w:right="144"/>
      </w:pPr>
      <w:r>
        <w:rPr>
          <w:rFonts w:ascii="Liberation Mono" w:hAnsi="Liberation Mono" w:eastAsia="Liberation Mono"/>
          <w:sz w:val="17"/>
        </w:rPr>
        <w:t>- known quoted/committed amounts</w:t>
      </w:r>
    </w:p>
    <w:p>
      <w:pPr>
        <w:pStyle w:val="NoSpacing"/>
        <w:spacing w:before="0" w:after="0" w:line="240" w:lineRule="auto"/>
        <w:ind w:left="259" w:right="144"/>
      </w:pPr>
      <w:r>
        <w:rPr>
          <w:rFonts w:ascii="Liberation Mono" w:hAnsi="Liberation Mono" w:eastAsia="Liberation Mono"/>
          <w:sz w:val="17"/>
        </w:rPr>
        <w:t>- planner-entered working amounts</w:t>
      </w:r>
    </w:p>
    <w:p>
      <w:pPr>
        <w:pStyle w:val="NoSpacing"/>
        <w:spacing w:before="0" w:after="0" w:line="240" w:lineRule="auto"/>
        <w:ind w:left="259" w:right="144"/>
      </w:pPr>
      <w:r>
        <w:rPr>
          <w:rFonts w:ascii="Liberation Mono" w:hAnsi="Liberation Mono" w:eastAsia="Liberation Mono"/>
          <w:sz w:val="17"/>
        </w:rPr>
        <w:t>- unpriced items</w:t>
      </w:r>
    </w:p>
    <w:p>
      <w:pPr>
        <w:pStyle w:val="NoSpacing"/>
        <w:spacing w:before="0" w:after="0" w:line="240" w:lineRule="auto"/>
        <w:ind w:left="259" w:right="144"/>
      </w:pPr>
      <w:r>
        <w:rPr>
          <w:rFonts w:ascii="Liberation Mono" w:hAnsi="Liberation Mono" w:eastAsia="Liberation Mono"/>
          <w:sz w:val="17"/>
        </w:rPr>
        <w:t>- conflicts/uncertainty</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H. Logistics Snapshot</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I. Existing Commitments</w:t>
      </w:r>
    </w:p>
    <w:p>
      <w:pPr>
        <w:pStyle w:val="NoSpacing"/>
        <w:spacing w:before="0" w:after="0" w:line="240" w:lineRule="auto"/>
        <w:ind w:left="259" w:right="144"/>
      </w:pPr>
      <w:r>
        <w:rPr>
          <w:rFonts w:ascii="Liberation Mono" w:hAnsi="Liberation Mono" w:eastAsia="Liberation Mono"/>
          <w:sz w:val="17"/>
        </w:rPr>
        <w:t>- include only to the extent supported</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J. Missing Information</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K. Conflicts + Ambiguities</w:t>
      </w:r>
    </w:p>
    <w:p>
      <w:pPr>
        <w:pStyle w:val="NoSpacing"/>
        <w:spacing w:before="0" w:after="0" w:line="240" w:lineRule="auto"/>
        <w:ind w:left="259" w:right="144"/>
      </w:pPr>
      <w:r>
        <w:rPr>
          <w:rFonts w:ascii="Liberation Mono" w:hAnsi="Liberation Mono" w:eastAsia="Liberation Mono"/>
          <w:sz w:val="17"/>
        </w:rPr>
        <w:t>- include source references</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L. Follow-Up Questions</w:t>
      </w:r>
    </w:p>
    <w:p>
      <w:pPr>
        <w:pStyle w:val="NoSpacing"/>
        <w:spacing w:before="0" w:after="0" w:line="240" w:lineRule="auto"/>
        <w:ind w:left="259" w:right="144"/>
      </w:pPr>
      <w:r>
        <w:rPr>
          <w:rFonts w:ascii="Liberation Mono" w:hAnsi="Liberation Mono" w:eastAsia="Liberation Mono"/>
          <w:sz w:val="17"/>
        </w:rPr>
        <w:t>- prioritized and ready for planner review, not automatically sent</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M. Planner Decisions Required</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N. Recommended Next Internal Step</w:t>
      </w:r>
    </w:p>
    <w:p>
      <w:pPr>
        <w:pStyle w:val="NoSpacing"/>
        <w:spacing w:before="0" w:after="0" w:line="240" w:lineRule="auto"/>
        <w:ind w:left="259" w:right="144"/>
      </w:pPr>
      <w:r>
        <w:rPr>
          <w:rFonts w:ascii="Liberation Mono" w:hAnsi="Liberation Mono" w:eastAsia="Liberation Mono"/>
          <w:sz w:val="17"/>
        </w:rPr>
        <w:t>- non-binding and planner-reviewed</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O. Source Register / Provenance Notes</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FINAL CHECKS</w:t>
      </w:r>
    </w:p>
    <w:p>
      <w:pPr>
        <w:pStyle w:val="NoSpacing"/>
        <w:spacing w:before="0" w:after="0" w:line="240" w:lineRule="auto"/>
        <w:ind w:left="259" w:right="144"/>
      </w:pPr>
      <w:r>
        <w:rPr>
          <w:rFonts w:ascii="Liberation Mono" w:hAnsi="Liberation Mono" w:eastAsia="Liberation Mono"/>
          <w:sz w:val="17"/>
        </w:rPr>
        <w:t>Before completing the response, verify:</w:t>
      </w:r>
    </w:p>
    <w:p>
      <w:pPr>
        <w:pStyle w:val="NoSpacing"/>
        <w:spacing w:before="0" w:after="0" w:line="240" w:lineRule="auto"/>
        <w:ind w:left="259" w:right="144"/>
      </w:pPr>
      <w:r>
        <w:rPr>
          <w:rFonts w:ascii="Liberation Mono" w:hAnsi="Liberation Mono" w:eastAsia="Liberation Mono"/>
          <w:sz w:val="17"/>
        </w:rPr>
        <w:t>- every consequential detail is supported by a supplied source or planner-entered rule;</w:t>
      </w:r>
    </w:p>
    <w:p>
      <w:pPr>
        <w:pStyle w:val="NoSpacing"/>
        <w:spacing w:before="0" w:after="0" w:line="240" w:lineRule="auto"/>
        <w:ind w:left="259" w:right="144"/>
      </w:pPr>
      <w:r>
        <w:rPr>
          <w:rFonts w:ascii="Liberation Mono" w:hAnsi="Liberation Mono" w:eastAsia="Liberation Mono"/>
          <w:sz w:val="17"/>
        </w:rPr>
        <w:t>- no missing information was guessed;</w:t>
      </w:r>
    </w:p>
    <w:p>
      <w:pPr>
        <w:pStyle w:val="NoSpacing"/>
        <w:spacing w:before="0" w:after="0" w:line="240" w:lineRule="auto"/>
        <w:ind w:left="259" w:right="144"/>
      </w:pPr>
      <w:r>
        <w:rPr>
          <w:rFonts w:ascii="Liberation Mono" w:hAnsi="Liberation Mono" w:eastAsia="Liberation Mono"/>
          <w:sz w:val="17"/>
        </w:rPr>
        <w:t>- conflicts and ambiguities are visible;</w:t>
      </w:r>
    </w:p>
    <w:p>
      <w:pPr>
        <w:pStyle w:val="NoSpacing"/>
        <w:spacing w:before="0" w:after="0" w:line="240" w:lineRule="auto"/>
        <w:ind w:left="259" w:right="144"/>
      </w:pPr>
      <w:r>
        <w:rPr>
          <w:rFonts w:ascii="Liberation Mono" w:hAnsi="Liberation Mono" w:eastAsia="Liberation Mono"/>
          <w:sz w:val="17"/>
        </w:rPr>
        <w:t>- third-party statements did not silently override the client;</w:t>
      </w:r>
    </w:p>
    <w:p>
      <w:pPr>
        <w:pStyle w:val="NoSpacing"/>
        <w:spacing w:before="0" w:after="0" w:line="240" w:lineRule="auto"/>
        <w:ind w:left="259" w:right="144"/>
      </w:pPr>
      <w:r>
        <w:rPr>
          <w:rFonts w:ascii="Liberation Mono" w:hAnsi="Liberation Mono" w:eastAsia="Liberation Mono"/>
          <w:sz w:val="17"/>
        </w:rPr>
        <w:t>- planner notes and interpretations are distinct from client-stated information;</w:t>
      </w:r>
    </w:p>
    <w:p>
      <w:pPr>
        <w:pStyle w:val="NoSpacing"/>
        <w:spacing w:before="0" w:after="0" w:line="240" w:lineRule="auto"/>
        <w:ind w:left="259" w:right="144"/>
      </w:pPr>
      <w:r>
        <w:rPr>
          <w:rFonts w:ascii="Liberation Mono" w:hAnsi="Liberation Mono" w:eastAsia="Liberation Mono"/>
          <w:sz w:val="17"/>
        </w:rPr>
        <w:t>- budget values preserve stated/estimated/quoted/committed/unknown status;</w:t>
      </w:r>
    </w:p>
    <w:p>
      <w:pPr>
        <w:pStyle w:val="NoSpacing"/>
        <w:spacing w:before="0" w:after="0" w:line="240" w:lineRule="auto"/>
        <w:ind w:left="259" w:right="144"/>
      </w:pPr>
      <w:r>
        <w:rPr>
          <w:rFonts w:ascii="Liberation Mono" w:hAnsi="Liberation Mono" w:eastAsia="Liberation Mono"/>
          <w:sz w:val="17"/>
        </w:rPr>
        <w:t>- client-reported bookings, payments, contracts, final counts, or similar claims are not presented as independently verified unless evidence supports it;</w:t>
      </w:r>
    </w:p>
    <w:p>
      <w:pPr>
        <w:pStyle w:val="NoSpacing"/>
        <w:spacing w:before="0" w:after="0" w:line="240" w:lineRule="auto"/>
        <w:ind w:left="259" w:right="144"/>
      </w:pPr>
      <w:r>
        <w:rPr>
          <w:rFonts w:ascii="Liberation Mono" w:hAnsi="Liberation Mono" w:eastAsia="Liberation Mono"/>
          <w:sz w:val="17"/>
        </w:rPr>
        <w:t>- requested services are not presented as contracted scope without planner-owned support;</w:t>
      </w:r>
    </w:p>
    <w:p>
      <w:pPr>
        <w:pStyle w:val="NoSpacing"/>
        <w:spacing w:before="0" w:after="0" w:line="240" w:lineRule="auto"/>
        <w:ind w:left="259" w:right="144"/>
      </w:pPr>
      <w:r>
        <w:rPr>
          <w:rFonts w:ascii="Liberation Mono" w:hAnsi="Liberation Mono" w:eastAsia="Liberation Mono"/>
          <w:sz w:val="17"/>
        </w:rPr>
        <w:t>- inspiration is not treated as permission to copy a protected design;</w:t>
      </w:r>
    </w:p>
    <w:p>
      <w:pPr>
        <w:pStyle w:val="NoSpacing"/>
        <w:spacing w:before="0" w:after="0" w:line="240" w:lineRule="auto"/>
        <w:ind w:left="259" w:right="144"/>
      </w:pPr>
      <w:r>
        <w:rPr>
          <w:rFonts w:ascii="Liberation Mono" w:hAnsi="Liberation Mono" w:eastAsia="Liberation Mono"/>
          <w:sz w:val="17"/>
        </w:rPr>
        <w:t>- follow-up questions are not automatically sent;</w:t>
      </w:r>
    </w:p>
    <w:p>
      <w:pPr>
        <w:pStyle w:val="NoSpacing"/>
        <w:spacing w:before="0" w:after="0" w:line="240" w:lineRule="auto"/>
        <w:ind w:left="259" w:right="144"/>
      </w:pPr>
      <w:r>
        <w:rPr>
          <w:rFonts w:ascii="Liberation Mono" w:hAnsi="Liberation Mono" w:eastAsia="Liberation Mono"/>
          <w:sz w:val="17"/>
        </w:rPr>
        <w:t>- consequential decisions are routed to the planner;</w:t>
      </w:r>
    </w:p>
    <w:p>
      <w:pPr>
        <w:pStyle w:val="NoSpacing"/>
        <w:spacing w:before="0" w:after="0" w:line="240" w:lineRule="auto"/>
        <w:ind w:left="259" w:right="144"/>
      </w:pPr>
      <w:r>
        <w:rPr>
          <w:rFonts w:ascii="Liberation Mono" w:hAnsi="Liberation Mono" w:eastAsia="Liberation Mono"/>
          <w:sz w:val="17"/>
        </w:rPr>
        <w:t>- unnecessary sensitive information is excluded;</w:t>
      </w:r>
    </w:p>
    <w:p>
      <w:pPr>
        <w:pStyle w:val="NoSpacing"/>
        <w:spacing w:before="0" w:after="0" w:line="240" w:lineRule="auto"/>
        <w:ind w:left="259" w:right="144"/>
      </w:pPr>
      <w:r>
        <w:rPr>
          <w:rFonts w:ascii="Liberation Mono" w:hAnsi="Liberation Mono" w:eastAsia="Liberation Mono"/>
          <w:sz w:val="17"/>
        </w:rPr>
        <w:t>- the output is understandable without depending on one AI platform.</w:t>
      </w:r>
    </w:p>
    <w:p>
      <w:pPr>
        <w:pStyle w:val="NoSpacing"/>
        <w:spacing w:before="0" w:after="0" w:line="240" w:lineRule="auto"/>
        <w:ind w:left="259" w:right="144"/>
      </w:pPr>
      <w:r>
        <w:rPr>
          <w:rFonts w:ascii="Liberation Mono" w:hAnsi="Liberation Mono" w:eastAsia="Liberation Mono"/>
          <w:sz w:val="17"/>
        </w:rPr>
        <w:t xml:space="preserve"> </w:t>
      </w:r>
    </w:p>
    <w:p>
      <w:pPr>
        <w:pStyle w:val="NoSpacing"/>
        <w:spacing w:before="0" w:after="0" w:line="240" w:lineRule="auto"/>
        <w:ind w:left="259" w:right="144"/>
      </w:pPr>
      <w:r>
        <w:rPr>
          <w:rFonts w:ascii="Liberation Mono" w:hAnsi="Liberation Mono" w:eastAsia="Liberation Mono"/>
          <w:sz w:val="17"/>
        </w:rPr>
        <w:t>If an input is too incomplete for a reliable planning brief, say so clearly and return a gap-forward brief using the same output structure rather than inventing completion.</w:t>
      </w:r>
    </w:p>
    <w:p>
      <w:pPr>
        <w:pStyle w:val="Callout"/>
      </w:pPr>
      <w:r>
        <w:rPr>
          <w:b/>
        </w:rPr>
        <w:t xml:space="preserve">Implementation reminder: </w:t>
      </w:r>
      <w:r>
        <w:t>The Skill is the workflow. The software is only the container. AI is an optional accelerator, not a requirement.</w:t>
      </w:r>
    </w:p>
    <w:sectPr w:rsidR="00FC693F" w:rsidRPr="0006063C" w:rsidSect="00034616">
      <w:footerReference w:type="default" r:id="rId9"/>
      <w:head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color w:val="5B6570"/>
        <w:sz w:val="16"/>
      </w:rPr>
      <w:t xml:space="preserve">AI Skills for Real Business | Client-to-Party-Plan | Page </w:t>
    </w:r>
    <w:r>
      <w:rPr>
        <w:color w:val="5B6570"/>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eastAsia="Aptos Display"/>
      <w:b/>
      <w:bCs/>
      <w:color w:val="17364D"/>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w:hAnsi="Aptos" w:eastAsia="Aptos"/>
      <w:b/>
      <w:bCs/>
      <w:color w:val="2F6F73"/>
      <w:sz w:val="25"/>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eastAsia="Aptos"/>
      <w:b/>
      <w:bCs/>
      <w:color w:val="17364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0"/>
      <w:contextualSpacing/>
    </w:pPr>
    <w:rPr>
      <w:rFonts w:asciiTheme="majorHAnsi" w:eastAsiaTheme="majorEastAsia" w:hAnsiTheme="majorHAnsi" w:cstheme="majorBidi" w:ascii="Aptos Display" w:hAnsi="Aptos Display" w:eastAsia="Aptos Display"/>
      <w:b/>
      <w:color w:val="1736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00" w:after="100"/>
    </w:pPr>
    <w:rPr>
      <w:rFonts w:ascii="Aptos" w:hAnsi="Aptos"/>
      <w:b/>
      <w:color w:val="2F6F73"/>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