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Platform Deployment Notes</w:t>
      </w:r>
    </w:p>
    <w:p>
      <w:pPr>
        <w:spacing w:after="200"/>
      </w:pPr>
      <w:r>
        <w:t>Client-to-Party-Plan | Platform-neutral setup guidance | Updated September 16, 2026</w:t>
      </w:r>
    </w:p>
    <w:p>
      <w:pPr>
        <w:pStyle w:val="Callout"/>
        <w:ind w:left="216"/>
      </w:pPr>
      <w:r>
        <w:t>The Skill is the workflow. The software is only the container. AI is an optional accelerator, not a requirement.</w:t>
      </w:r>
    </w:p>
    <w:p>
      <w:r>
        <w:t>Purpose. Use these notes to move the Client-to-Party-Plan workflow taught in the book into a manual system or a capable AI environment without changing its authority, decision rules, output, tests, or human review gate.</w:t>
      </w:r>
    </w:p>
    <w:p>
      <w:pPr>
        <w:pStyle w:val="Heading1"/>
      </w:pPr>
      <w:r>
        <w:t>1. What must stay the same in every container</w:t>
      </w:r>
    </w:p>
    <w:p>
      <w:pPr>
        <w:pStyle w:val="ListBullet"/>
        <w:spacing w:after="40"/>
      </w:pPr>
      <w:r>
        <w:t>trigger and next intended internal step;</w:t>
      </w:r>
    </w:p>
    <w:p>
      <w:pPr>
        <w:pStyle w:val="ListBullet"/>
        <w:spacing w:after="40"/>
      </w:pPr>
      <w:r>
        <w:t>information-state definitions;</w:t>
      </w:r>
    </w:p>
    <w:p>
      <w:pPr>
        <w:pStyle w:val="ListBullet"/>
        <w:spacing w:after="40"/>
      </w:pPr>
      <w:r>
        <w:t>verification-status definitions;</w:t>
      </w:r>
    </w:p>
    <w:p>
      <w:pPr>
        <w:pStyle w:val="ListBullet"/>
        <w:spacing w:after="40"/>
      </w:pPr>
      <w:r>
        <w:t>source-authority and correction rules;</w:t>
      </w:r>
    </w:p>
    <w:p>
      <w:pPr>
        <w:pStyle w:val="ListBullet"/>
        <w:spacing w:after="40"/>
      </w:pPr>
      <w:r>
        <w:t>requested-services versus contracted-scope separation;</w:t>
      </w:r>
    </w:p>
    <w:p>
      <w:pPr>
        <w:pStyle w:val="ListBullet"/>
        <w:spacing w:after="40"/>
      </w:pPr>
      <w:r>
        <w:t>budget uncertainty rules;</w:t>
      </w:r>
    </w:p>
    <w:p>
      <w:pPr>
        <w:pStyle w:val="ListBullet"/>
        <w:spacing w:after="40"/>
      </w:pPr>
      <w:r>
        <w:t>human-judgment boundaries;</w:t>
      </w:r>
    </w:p>
    <w:p>
      <w:pPr>
        <w:pStyle w:val="ListBullet"/>
        <w:spacing w:after="40"/>
      </w:pPr>
      <w:r>
        <w:t>fifteen-section brief output;</w:t>
      </w:r>
    </w:p>
    <w:p>
      <w:pPr>
        <w:pStyle w:val="ListBullet"/>
        <w:spacing w:after="40"/>
      </w:pPr>
      <w:r>
        <w:t>final checks and planner review gate;</w:t>
      </w:r>
    </w:p>
    <w:p>
      <w:pPr>
        <w:pStyle w:val="ListBullet"/>
        <w:spacing w:after="40"/>
      </w:pPr>
      <w:r>
        <w:t>five standard test classes.</w:t>
      </w:r>
    </w:p>
    <w:p>
      <w:pPr>
        <w:pStyle w:val="Heading1"/>
      </w:pPr>
      <w:r>
        <w:t>2. Manual implementation</w:t>
      </w:r>
    </w:p>
    <w:p>
      <w:r>
        <w:rPr>
          <w:b/>
        </w:rPr>
        <w:t xml:space="preserve">Spreadsheet example. </w:t>
      </w:r>
      <w:r>
        <w:t>Use separate tabs, sections, or views for:</w:t>
      </w:r>
    </w:p>
    <w:p>
      <w:pPr>
        <w:pStyle w:val="ListBullet"/>
        <w:spacing w:after="40"/>
      </w:pPr>
      <w:r>
        <w:t>Source Register - Source ID, Source Type, Date/Sequence, Supplied By, Source Role, Limitation/Caveat;</w:t>
      </w:r>
    </w:p>
    <w:p>
      <w:pPr>
        <w:pStyle w:val="ListBullet"/>
        <w:spacing w:after="40"/>
      </w:pPr>
      <w:r>
        <w:t>Working Intake / State - Topic, Current Value, Information State, Verification Status, Source, Action/Follow-Up;</w:t>
      </w:r>
    </w:p>
    <w:p>
      <w:pPr>
        <w:pStyle w:val="ListBullet"/>
        <w:spacing w:after="40"/>
      </w:pPr>
      <w:r>
        <w:t>Issues / Follow-Up - missing information, conflicts, ambiguities, prioritized clarification questions, planner decisions;</w:t>
      </w:r>
    </w:p>
    <w:p>
      <w:pPr>
        <w:pStyle w:val="ListBullet"/>
        <w:spacing w:after="40"/>
      </w:pPr>
      <w:r>
        <w:t>Current Planning Brief - the fifteen-section Client-to-Party-Plan Brief.</w:t>
      </w:r>
    </w:p>
    <w:p>
      <w:r>
        <w:rPr>
          <w:b/>
        </w:rPr>
        <w:t xml:space="preserve">Document alternative. </w:t>
      </w:r>
      <w:r>
        <w:t>In Microsoft Word or Google Docs, use the fifteen brief sections as headings, keep a source register near the beginning, and use document version history or numbered versions for meaningful updates.</w:t>
      </w:r>
    </w:p>
    <w:p>
      <w:pPr>
        <w:pStyle w:val="Heading1"/>
      </w:pPr>
      <w:r>
        <w:t>3. One organized workspace per event</w:t>
      </w:r>
    </w:p>
    <w:p>
      <w:r>
        <w:rPr>
          <w:b/>
        </w:rPr>
        <w:t xml:space="preserve">Create one project workspace for each event when practical. </w:t>
      </w:r>
      <w:r>
        <w:t>This can be a computer/cloud folder, CRM project, project-management workspace, or - where supported - a dedicated AI workspace.</w:t>
      </w:r>
    </w:p>
    <w:p>
      <w:pPr/>
      <w:r>
        <w:rPr>
          <w:rFonts w:ascii="Consolas" w:hAnsi="Consolas"/>
          <w:sz w:val="18"/>
        </w:rPr>
        <w:t>Maya-30th-Birthday/</w:t>
        <w:br/>
      </w:r>
      <w:r>
        <w:rPr>
          <w:rFonts w:ascii="Consolas" w:hAnsi="Consolas"/>
          <w:sz w:val="18"/>
        </w:rPr>
        <w:t xml:space="preserve">  01-Sources/</w:t>
        <w:br/>
      </w:r>
      <w:r>
        <w:rPr>
          <w:rFonts w:ascii="Consolas" w:hAnsi="Consolas"/>
          <w:sz w:val="18"/>
        </w:rPr>
        <w:t xml:space="preserve">  02-Applicable-Business-Rules/</w:t>
        <w:br/>
      </w:r>
      <w:r>
        <w:rPr>
          <w:rFonts w:ascii="Consolas" w:hAnsi="Consolas"/>
          <w:sz w:val="18"/>
        </w:rPr>
        <w:t xml:space="preserve">  03-Current-Brief/</w:t>
        <w:br/>
      </w:r>
      <w:r>
        <w:rPr>
          <w:rFonts w:ascii="Consolas" w:hAnsi="Consolas"/>
          <w:sz w:val="18"/>
        </w:rPr>
        <w:t xml:space="preserve">  04-Issues-and-Follow-Up/</w:t>
        <w:br/>
      </w:r>
      <w:r>
        <w:rPr>
          <w:rFonts w:ascii="Consolas" w:hAnsi="Consolas"/>
          <w:sz w:val="18"/>
        </w:rPr>
        <w:t xml:space="preserve">  05-Approved-Documents/</w:t>
        <w:br/>
      </w:r>
      <w:r>
        <w:rPr>
          <w:rFonts w:ascii="Consolas" w:hAnsi="Consolas"/>
          <w:sz w:val="18"/>
        </w:rPr>
        <w:t xml:space="preserve">  06-Archive/</w:t>
      </w:r>
    </w:p>
    <w:p>
      <w:r>
        <w:t>The names and folder structure are examples. Reference or link to your current business rules when possible instead of creating an independent copy for every event.</w:t>
      </w:r>
    </w:p>
    <w:p>
      <w:pPr>
        <w:pStyle w:val="Heading1"/>
      </w:pPr>
      <w:r>
        <w:t>4. The three operational layers</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5112"/>
            <w:shd w:fill="17364D"/>
          </w:tcPr>
          <w:p>
            <w:r>
              <w:rPr>
                <w:b/>
                <w:color w:val="FFFFFF"/>
              </w:rPr>
              <w:t>Field</w:t>
            </w:r>
          </w:p>
        </w:tc>
        <w:tc>
          <w:tcPr>
            <w:tcW w:type="dxa" w:w="5112"/>
            <w:shd w:fill="17364D"/>
          </w:tcPr>
          <w:p>
            <w:r>
              <w:rPr>
                <w:b/>
                <w:color w:val="FFFFFF"/>
              </w:rPr>
              <w:t>Editable value / default</w:t>
            </w:r>
          </w:p>
        </w:tc>
      </w:tr>
      <w:tr>
        <w:tc>
          <w:tcPr>
            <w:tcW w:type="dxa" w:w="5112"/>
            <w:vAlign w:val="top"/>
            <w:tcMar>
              <w:top w:w="80" w:type="dxa"/>
              <w:start w:w="90" w:type="dxa"/>
              <w:bottom w:w="80" w:type="dxa"/>
              <w:end w:w="90" w:type="dxa"/>
            </w:tcMar>
          </w:tcPr>
          <w:p>
            <w:r>
              <w:t>Project folder / workspace</w:t>
            </w:r>
          </w:p>
        </w:tc>
        <w:tc>
          <w:tcPr>
            <w:tcW w:type="dxa" w:w="5112"/>
            <w:vAlign w:val="top"/>
            <w:tcMar>
              <w:top w:w="80" w:type="dxa"/>
              <w:start w:w="90" w:type="dxa"/>
              <w:bottom w:w="80" w:type="dxa"/>
              <w:end w:w="90" w:type="dxa"/>
            </w:tcMar>
          </w:tcPr>
          <w:p>
            <w:r>
              <w:t>Organized working environment where current event materials are kept together.</w:t>
            </w:r>
          </w:p>
        </w:tc>
      </w:tr>
      <w:tr>
        <w:tc>
          <w:tcPr>
            <w:tcW w:type="dxa" w:w="5112"/>
            <w:vAlign w:val="top"/>
            <w:tcMar>
              <w:top w:w="80" w:type="dxa"/>
              <w:start w:w="90" w:type="dxa"/>
              <w:bottom w:w="80" w:type="dxa"/>
              <w:end w:w="90" w:type="dxa"/>
            </w:tcMar>
          </w:tcPr>
          <w:p>
            <w:r>
              <w:t>Current brief and business records</w:t>
            </w:r>
          </w:p>
        </w:tc>
        <w:tc>
          <w:tcPr>
            <w:tcW w:type="dxa" w:w="5112"/>
            <w:vAlign w:val="top"/>
            <w:tcMar>
              <w:top w:w="80" w:type="dxa"/>
              <w:start w:w="90" w:type="dxa"/>
              <w:bottom w:w="80" w:type="dxa"/>
              <w:end w:w="90" w:type="dxa"/>
            </w:tcMar>
          </w:tcPr>
          <w:p>
            <w:r>
              <w:t>Source of truth: the current records your business relies on.</w:t>
            </w:r>
          </w:p>
        </w:tc>
      </w:tr>
      <w:tr>
        <w:tc>
          <w:tcPr>
            <w:tcW w:type="dxa" w:w="5112"/>
            <w:vAlign w:val="top"/>
            <w:tcMar>
              <w:top w:w="80" w:type="dxa"/>
              <w:start w:w="90" w:type="dxa"/>
              <w:bottom w:w="80" w:type="dxa"/>
              <w:end w:w="90" w:type="dxa"/>
            </w:tcMar>
          </w:tcPr>
          <w:p>
            <w:r>
              <w:t>AI chat</w:t>
            </w:r>
          </w:p>
        </w:tc>
        <w:tc>
          <w:tcPr>
            <w:tcW w:type="dxa" w:w="5112"/>
            <w:vAlign w:val="top"/>
            <w:tcMar>
              <w:top w:w="80" w:type="dxa"/>
              <w:start w:w="90" w:type="dxa"/>
              <w:bottom w:w="80" w:type="dxa"/>
              <w:end w:w="90" w:type="dxa"/>
            </w:tcMar>
          </w:tcPr>
          <w:p>
            <w:r>
              <w:t>Processing layer: may organize, compare, label, draft, and prepare the brief, but should not automatically become the permanent system of record.</w:t>
            </w:r>
          </w:p>
        </w:tc>
      </w:tr>
    </w:tbl>
    <w:p>
      <w:pPr>
        <w:pStyle w:val="Callout"/>
        <w:ind w:left="216"/>
      </w:pPr>
      <w:r>
        <w:t>Do not rely on one AI conversation or chat history as the only place where the workflow, business rules, or planner-reviewed brief exist.</w:t>
      </w:r>
    </w:p>
    <w:p>
      <w:pPr>
        <w:pStyle w:val="Heading1"/>
      </w:pPr>
      <w:r>
        <w:t>5. What to keep together in an AI-assisted workspace</w:t>
      </w:r>
    </w:p>
    <w:p>
      <w:pPr>
        <w:pStyle w:val="ListBullet"/>
        <w:spacing w:after="40"/>
      </w:pPr>
      <w:r>
        <w:t>the full Universal AI Instructions from Part 7 of the book;</w:t>
      </w:r>
    </w:p>
    <w:p>
      <w:pPr>
        <w:pStyle w:val="ListBullet"/>
        <w:spacing w:after="40"/>
      </w:pPr>
      <w:r>
        <w:t>relevant current business rules;</w:t>
      </w:r>
    </w:p>
    <w:p>
      <w:pPr>
        <w:pStyle w:val="ListBullet"/>
        <w:spacing w:after="40"/>
      </w:pPr>
      <w:r>
        <w:t>your intake standard;</w:t>
      </w:r>
    </w:p>
    <w:p>
      <w:pPr>
        <w:pStyle w:val="ListBullet"/>
        <w:spacing w:after="40"/>
      </w:pPr>
      <w:r>
        <w:t>service-scope rules;</w:t>
      </w:r>
    </w:p>
    <w:p>
      <w:pPr>
        <w:pStyle w:val="ListBullet"/>
        <w:spacing w:after="40"/>
      </w:pPr>
      <w:r>
        <w:t>relevant budget/source-handling rules;</w:t>
      </w:r>
    </w:p>
    <w:p>
      <w:pPr>
        <w:pStyle w:val="ListBullet"/>
        <w:spacing w:after="40"/>
      </w:pPr>
      <w:r>
        <w:t>only the client/event source material necessary for the task;</w:t>
      </w:r>
    </w:p>
    <w:p>
      <w:pPr>
        <w:pStyle w:val="ListBullet"/>
        <w:spacing w:after="40"/>
      </w:pPr>
      <w:r>
        <w:t>the current planner-reviewed brief;</w:t>
      </w:r>
    </w:p>
    <w:p>
      <w:pPr>
        <w:pStyle w:val="ListBullet"/>
        <w:spacing w:after="40"/>
      </w:pPr>
      <w:r>
        <w:t>current unresolved issues and follow-up items;</w:t>
      </w:r>
    </w:p>
    <w:p>
      <w:pPr>
        <w:pStyle w:val="ListBullet"/>
        <w:spacing w:after="40"/>
      </w:pPr>
      <w:r>
        <w:t>relevant approved documents.</w:t>
      </w:r>
    </w:p>
    <w:p>
      <w:r>
        <w:rPr>
          <w:b/>
        </w:rPr>
        <w:t xml:space="preserve">Version control. </w:t>
      </w:r>
      <w:r>
        <w:t>Keep superseded or historical versions separate from the current working version when practical.</w:t>
      </w:r>
    </w:p>
    <w:p>
      <w:r>
        <w:rPr>
          <w:b/>
        </w:rPr>
        <w:t xml:space="preserve">Data minimization. </w:t>
      </w:r>
      <w:r>
        <w:t>Do not upload every client file or every piece of personal information just because a tool allows it. Use only what is needed for the planning task and follow your privacy obligations and platform policies.</w:t>
      </w:r>
    </w:p>
    <w:p>
      <w:pPr>
        <w:pStyle w:val="Heading1"/>
      </w:pPr>
      <w:r>
        <w:t>6. Current platform notes</w:t>
      </w:r>
    </w:p>
    <w:p>
      <w:r>
        <w:rPr>
          <w:b/>
        </w:rPr>
        <w:t xml:space="preserve">These are implementation options, not requirements. </w:t>
      </w:r>
      <w:r>
        <w:t>Feature names, availability, plan eligibility, and admin controls change. The workflow should survive those changes.</w:t>
      </w:r>
    </w:p>
    <w:p>
      <w:pPr>
        <w:pStyle w:val="Heading2"/>
      </w:pPr>
      <w:r>
        <w:t>ChatGPT</w:t>
      </w:r>
    </w:p>
    <w:p>
      <w:r>
        <w:t>OpenAI currently describes Skills as reusable workflows that can include instructions, examples, code, and supporting resources. Availability differs by product, plan, and workspace. If reusable Skills are unavailable in your environment, use the same Universal AI Instructions in another suitable reusable-instruction or chat/workspace surface. Keep your core business logic outside any single chat.</w:t>
      </w:r>
    </w:p>
    <w:p>
      <w:pPr>
        <w:pStyle w:val="Heading2"/>
      </w:pPr>
      <w:r>
        <w:t>Claude</w:t>
      </w:r>
    </w:p>
    <w:p>
      <w:r>
        <w:t>Anthropic describes Agent Skills as folders of instructions, scripts, and resources, commonly anchored by a SKILL.md file, and has published Agent Skills as an open standard for portability. Where that format is available, map the Client-to-Party-Plan workflow into it; otherwise use the same workflow as reusable instructions and supporting context.</w:t>
      </w:r>
    </w:p>
    <w:p>
      <w:pPr>
        <w:pStyle w:val="Heading2"/>
      </w:pPr>
      <w:r>
        <w:t>Gemini</w:t>
      </w:r>
    </w:p>
    <w:p>
      <w:r>
        <w:t>Google Gems support repeatable custom instructions and can use selected files as knowledge/context. Map the Universal AI Instructions and your business context into a Gem when useful, then run the same five tests. Keep the business source of truth outside the Gem/chat.</w:t>
      </w:r>
    </w:p>
    <w:p>
      <w:pPr>
        <w:pStyle w:val="Heading2"/>
      </w:pPr>
      <w:r>
        <w:t>Microsoft Copilot</w:t>
      </w:r>
    </w:p>
    <w:p>
      <w:r>
        <w:t>Microsoft 365 Copilot Agent Builder supports instructions and configurable knowledge sources in supported environments, with availability, licensing, admin, and data-governance requirements that may vary. Map the same purpose, rules, output, and tests. If tools/actions are available, do not let them silently expand this Skill's authority.</w:t>
      </w:r>
    </w:p>
    <w:p>
      <w:pPr>
        <w:pStyle w:val="Heading2"/>
      </w:pPr>
      <w:r>
        <w:t>Another capable AI environment</w:t>
      </w:r>
    </w:p>
    <w:p>
      <w:r>
        <w:t>Use a system that can reliably accept reusable instructions, labeled source material, business rules, structured output requirements, and a human review step. If those core rules are preserved, the container can change without changing the Skill.</w:t>
      </w:r>
    </w:p>
    <w:p>
      <w:pPr>
        <w:pStyle w:val="Heading1"/>
      </w:pPr>
      <w:r>
        <w:t>7. Keep actions separate from analysis</w:t>
      </w:r>
    </w:p>
    <w:p>
      <w:r>
        <w:rPr>
          <w:b/>
        </w:rPr>
        <w:t xml:space="preserve">Client-to-Party-Plan prepares an internal brief. </w:t>
      </w:r>
      <w:r>
        <w:t>If a platform can send messages, update systems, place orders, or call external tools, treat those as separate action workflows with their own permissions, tests, and approval gates. A summarization error should never automatically become a client message, booking, purchase, price, or commitment.</w:t>
      </w:r>
    </w:p>
    <w:p>
      <w:pPr>
        <w:pStyle w:val="Heading1"/>
      </w:pPr>
      <w:r>
        <w:t>8. Platform migration checklist</w:t>
      </w:r>
    </w:p>
    <w:p>
      <w:pPr>
        <w:spacing w:after="40"/>
      </w:pPr>
      <w:r>
        <w:t>[ ] Same trigger</w:t>
      </w:r>
    </w:p>
    <w:p>
      <w:pPr>
        <w:spacing w:after="40"/>
      </w:pPr>
      <w:r>
        <w:t>[ ] Same information-state definitions</w:t>
      </w:r>
    </w:p>
    <w:p>
      <w:pPr>
        <w:spacing w:after="40"/>
      </w:pPr>
      <w:r>
        <w:t>[ ] Same verification-status definitions</w:t>
      </w:r>
    </w:p>
    <w:p>
      <w:pPr>
        <w:spacing w:after="40"/>
      </w:pPr>
      <w:r>
        <w:t>[ ] Same source-authority rules</w:t>
      </w:r>
    </w:p>
    <w:p>
      <w:pPr>
        <w:spacing w:after="40"/>
      </w:pPr>
      <w:r>
        <w:t>[ ] Same requested-vs-contracted scope rule</w:t>
      </w:r>
    </w:p>
    <w:p>
      <w:pPr>
        <w:spacing w:after="40"/>
      </w:pPr>
      <w:r>
        <w:t>[ ] Same budget uncertainty rules</w:t>
      </w:r>
    </w:p>
    <w:p>
      <w:pPr>
        <w:spacing w:after="40"/>
      </w:pPr>
      <w:r>
        <w:t>[ ] Same human boundaries</w:t>
      </w:r>
    </w:p>
    <w:p>
      <w:pPr>
        <w:spacing w:after="40"/>
      </w:pPr>
      <w:r>
        <w:t>[ ] Same output sections</w:t>
      </w:r>
    </w:p>
    <w:p>
      <w:pPr>
        <w:spacing w:after="40"/>
      </w:pPr>
      <w:r>
        <w:t>[ ] Same final checks</w:t>
      </w:r>
    </w:p>
    <w:p>
      <w:pPr>
        <w:spacing w:after="40"/>
      </w:pPr>
      <w:r>
        <w:t>[ ] Same five test classes</w:t>
      </w:r>
    </w:p>
    <w:p>
      <w:pPr>
        <w:spacing w:after="40"/>
      </w:pPr>
      <w:r>
        <w:t>[ ] No new external-action permissions added by accident</w:t>
      </w:r>
    </w:p>
    <w:p>
      <w:pPr>
        <w:pStyle w:val="Heading1"/>
      </w:pPr>
      <w:r>
        <w:t>9. Platform references</w:t>
      </w:r>
    </w:p>
    <w:p>
      <w:pPr>
        <w:pStyle w:val="ListBullet"/>
        <w:spacing w:after="40"/>
      </w:pPr>
      <w:r>
        <w:t>OpenAI Help Center - Skills in ChatGPT: https://help.openai.com/en/articles/20001066</w:t>
      </w:r>
    </w:p>
    <w:p>
      <w:pPr>
        <w:pStyle w:val="ListBullet"/>
        <w:spacing w:after="40"/>
      </w:pPr>
      <w:r>
        <w:t>Anthropic - Equipping agents for the real world with Agent Skills: https://www.anthropic.com/engineering/equipping-agents-for-the-real-world-with-agent-skills</w:t>
      </w:r>
    </w:p>
    <w:p>
      <w:pPr>
        <w:pStyle w:val="ListBullet"/>
        <w:spacing w:after="40"/>
      </w:pPr>
      <w:r>
        <w:t>Google Gemini Apps Help - Tips for creating custom Gems: https://support.google.com/gemini/answer/15235603</w:t>
      </w:r>
    </w:p>
    <w:p>
      <w:pPr>
        <w:pStyle w:val="ListBullet"/>
        <w:spacing w:after="40"/>
      </w:pPr>
      <w:r>
        <w:t>Microsoft Learn - Agent Builder in Microsoft 365 Copilot: https://learn.microsoft.com/en-us/microsoft-365-copilot/extensibility/agent-builder</w:t>
      </w:r>
    </w:p>
    <w:p>
      <w:pPr>
        <w:pStyle w:val="ListBullet"/>
        <w:spacing w:after="40"/>
      </w:pPr>
      <w:r>
        <w:t>Microsoft Learn - Add knowledge sources to your declarative agent: https://learn.microsoft.com/en-us/microsoft-365/copilot/extensibility/agent-builder-add-knowledge</w:t>
      </w:r>
    </w:p>
    <w:p>
      <w:r>
        <w:t>Last checked: September 16, 2026. Re-check the provider's current privacy, plan, workspace, and data-governance requirements before using client information in a new system.</w:t>
      </w:r>
    </w:p>
    <w:sectPr w:rsidR="00FC693F" w:rsidRPr="0006063C" w:rsidSect="00034616">
      <w:footerReference w:type="default" r:id="rId9"/>
      <w:head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5B6570"/>
        <w:sz w:val="16"/>
      </w:rPr>
      <w:t xml:space="preserve">AI Skills for Real Business | Client-to-Party-Plan | Page </w:t>
    </w:r>
    <w:r>
      <w:rPr>
        <w:color w:val="5B6570"/>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eastAsia="Aptos Display"/>
      <w:b/>
      <w:bCs/>
      <w:color w:val="17364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eastAsia="Aptos"/>
      <w:b/>
      <w:bCs/>
      <w:color w:val="2F6F73"/>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eastAsia="Aptos"/>
      <w:b/>
      <w:bCs/>
      <w:color w:val="1736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eastAsia="Aptos Display"/>
      <w:b/>
      <w:color w:val="1736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00"/>
    </w:pPr>
    <w:rPr>
      <w:rFonts w:ascii="Aptos" w:hAnsi="Aptos"/>
      <w:b/>
      <w:color w:val="2F6F7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