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b/>
        </w:rPr>
        <w:t>Synthetic Example Input</w:t>
      </w:r>
    </w:p>
    <w:p>
      <w:pPr>
        <w:spacing w:after="200"/>
      </w:pPr>
      <w:r>
        <w:rPr>
          <w:i/>
          <w:color w:val="5B6570"/>
          <w:sz w:val="22"/>
        </w:rPr>
        <w:t>Practice packet for Client-to-Party-Plan | Fictional scenario</w:t>
      </w:r>
    </w:p>
    <w:p>
      <w:r>
        <w:t>Important: This is a fictional practice scenario, not a real client record. Use it to practice source registration, state labeling, issue detection, and brief creation without inventing missing details.</w:t>
      </w:r>
    </w:p>
    <w:p>
      <w:pPr>
        <w:pStyle w:val="Heading1"/>
      </w:pPr>
      <w:r>
        <w:t>Source packet</w:t>
      </w:r>
    </w:p>
    <w:p>
      <w:pPr>
        <w:pStyle w:val="Heading2"/>
      </w:pPr>
      <w:r>
        <w:t>S1 - Client DM - client supplied</w:t>
      </w:r>
    </w:p>
    <w:p>
      <w:pPr>
        <w:ind w:left="288"/>
      </w:pPr>
      <w:r>
        <w:t>“40 ppl. Blue Pup Adventure but not babyish. 2k maybe. balloon wall yes. cake??”</w:t>
      </w:r>
    </w:p>
    <w:p>
      <w:pPr>
        <w:pStyle w:val="Heading2"/>
      </w:pPr>
      <w:r>
        <w:t>S2 - Discovery-call notes - planner authored from client call</w:t>
      </w:r>
    </w:p>
    <w:p>
      <w:pPr>
        <w:ind w:left="288"/>
      </w:pPr>
      <w:r>
        <w:t>Saturday before Halloween?</w:t>
      </w:r>
    </w:p>
    <w:p>
      <w:pPr>
        <w:ind w:left="288"/>
      </w:pPr>
      <w:r>
        <w:t>setup at 1</w:t>
      </w:r>
    </w:p>
    <w:p>
      <w:pPr>
        <w:ind w:left="288"/>
      </w:pPr>
      <w:r>
        <w:t>tables maybe venue has</w:t>
      </w:r>
    </w:p>
    <w:p>
      <w:pPr>
        <w:ind w:left="288"/>
      </w:pPr>
      <w:r>
        <w:t>client wants blue dogs / adventure feel, not exact cartoon copy</w:t>
      </w:r>
    </w:p>
    <w:p>
      <w:pPr>
        <w:ind w:left="288"/>
      </w:pPr>
      <w:r>
        <w:t>event maybe 4 PM?</w:t>
      </w:r>
    </w:p>
    <w:p>
      <w:pPr>
        <w:pStyle w:val="Heading2"/>
      </w:pPr>
      <w:r>
        <w:t>S3 - Family-member text forwarded to planner - third-party</w:t>
      </w:r>
    </w:p>
    <w:p>
      <w:pPr>
        <w:ind w:left="288"/>
      </w:pPr>
      <w:r>
        <w:t>“Auntie says make it 60 people and add red.”</w:t>
      </w:r>
    </w:p>
    <w:p>
      <w:pPr>
        <w:pStyle w:val="Heading2"/>
      </w:pPr>
      <w:r>
        <w:t>S4 - Four inspiration references - client supplied</w:t>
      </w:r>
    </w:p>
    <w:p>
      <w:pPr>
        <w:ind w:left="288"/>
      </w:pPr>
      <w:r>
        <w:t>1. blue/orange balloon installation</w:t>
      </w:r>
    </w:p>
    <w:p>
      <w:pPr>
        <w:ind w:left="288"/>
      </w:pPr>
      <w:r>
        <w:t>2. paw-print motif</w:t>
      </w:r>
    </w:p>
    <w:p>
      <w:pPr>
        <w:ind w:left="288"/>
      </w:pPr>
      <w:r>
        <w:t>3. adventurous puppy silhouettes</w:t>
      </w:r>
    </w:p>
    <w:p>
      <w:pPr>
        <w:ind w:left="288"/>
      </w:pPr>
      <w:r>
        <w:t>4. layered party-table styling</w:t>
      </w:r>
    </w:p>
    <w:p>
      <w:pPr>
        <w:pStyle w:val="Heading2"/>
      </w:pPr>
      <w:r>
        <w:t>S5 - Planner note - planner authored</w:t>
      </w:r>
    </w:p>
    <w:p>
      <w:pPr>
        <w:ind w:left="288"/>
      </w:pPr>
      <w:r>
        <w:t>“Venue = Eastside Community Hall? Need confirm.”</w:t>
      </w:r>
    </w:p>
    <w:p>
      <w:pPr>
        <w:pStyle w:val="Heading1"/>
        <w:pageBreakBefore/>
      </w:pPr>
      <w:r>
        <w:t>Source register starter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rPr>
          <w:tblHeader w:val="true"/>
        </w:trPr>
        <w:tc>
          <w:tcPr>
            <w:tcW w:type="dxa" w:w="2045"/>
            <w:shd w:fill="17364D"/>
          </w:tcPr>
          <w:p>
            <w:r>
              <w:rPr>
                <w:b/>
                <w:color w:val="FFFFFF"/>
              </w:rPr>
              <w:t>Source ID</w:t>
            </w:r>
          </w:p>
        </w:tc>
        <w:tc>
          <w:tcPr>
            <w:tcW w:type="dxa" w:w="2045"/>
            <w:shd w:fill="17364D"/>
          </w:tcPr>
          <w:p>
            <w:r>
              <w:rPr>
                <w:b/>
                <w:color w:val="FFFFFF"/>
              </w:rPr>
              <w:t>Source type</w:t>
            </w:r>
          </w:p>
        </w:tc>
        <w:tc>
          <w:tcPr>
            <w:tcW w:type="dxa" w:w="2045"/>
            <w:shd w:fill="17364D"/>
          </w:tcPr>
          <w:p>
            <w:r>
              <w:rPr>
                <w:b/>
                <w:color w:val="FFFFFF"/>
              </w:rPr>
              <w:t>Supplied by</w:t>
            </w:r>
          </w:p>
        </w:tc>
        <w:tc>
          <w:tcPr>
            <w:tcW w:type="dxa" w:w="2045"/>
            <w:shd w:fill="17364D"/>
          </w:tcPr>
          <w:p>
            <w:r>
              <w:rPr>
                <w:b/>
                <w:color w:val="FFFFFF"/>
              </w:rPr>
              <w:t>Source role</w:t>
            </w:r>
          </w:p>
        </w:tc>
        <w:tc>
          <w:tcPr>
            <w:tcW w:type="dxa" w:w="2045"/>
            <w:shd w:fill="17364D"/>
          </w:tcPr>
          <w:p>
            <w:r>
              <w:rPr>
                <w:b/>
                <w:color w:val="FFFFFF"/>
              </w:rPr>
              <w:t>Limitation / caveat</w:t>
            </w:r>
          </w:p>
        </w:tc>
      </w:tr>
      <w:tr>
        <w:tc>
          <w:tcPr>
            <w:tcW w:type="dxa" w:w="204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S1</w:t>
            </w:r>
          </w:p>
        </w:tc>
        <w:tc>
          <w:tcPr>
            <w:tcW w:type="dxa" w:w="204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DM</w:t>
            </w:r>
          </w:p>
        </w:tc>
        <w:tc>
          <w:tcPr>
            <w:tcW w:type="dxa" w:w="204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Client</w:t>
            </w:r>
          </w:p>
        </w:tc>
        <w:tc>
          <w:tcPr>
            <w:tcW w:type="dxa" w:w="204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Direct client source</w:t>
            </w:r>
          </w:p>
        </w:tc>
        <w:tc>
          <w:tcPr>
            <w:tcW w:type="dxa" w:w="204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Shorthand wording</w:t>
            </w:r>
          </w:p>
        </w:tc>
      </w:tr>
      <w:tr>
        <w:tc>
          <w:tcPr>
            <w:tcW w:type="dxa" w:w="204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S2</w:t>
            </w:r>
          </w:p>
        </w:tc>
        <w:tc>
          <w:tcPr>
            <w:tcW w:type="dxa" w:w="204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Call notes</w:t>
            </w:r>
          </w:p>
        </w:tc>
        <w:tc>
          <w:tcPr>
            <w:tcW w:type="dxa" w:w="204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Planner</w:t>
            </w:r>
          </w:p>
        </w:tc>
        <w:tc>
          <w:tcPr>
            <w:tcW w:type="dxa" w:w="204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Planner-authored from client conversation</w:t>
            </w:r>
          </w:p>
        </w:tc>
        <w:tc>
          <w:tcPr>
            <w:tcW w:type="dxa" w:w="204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Tentative/ambiguous phrasing</w:t>
            </w:r>
          </w:p>
        </w:tc>
      </w:tr>
      <w:tr>
        <w:tc>
          <w:tcPr>
            <w:tcW w:type="dxa" w:w="204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S3</w:t>
            </w:r>
          </w:p>
        </w:tc>
        <w:tc>
          <w:tcPr>
            <w:tcW w:type="dxa" w:w="204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Forwarded text</w:t>
            </w:r>
          </w:p>
        </w:tc>
        <w:tc>
          <w:tcPr>
            <w:tcW w:type="dxa" w:w="204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Family member</w:t>
            </w:r>
          </w:p>
        </w:tc>
        <w:tc>
          <w:tcPr>
            <w:tcW w:type="dxa" w:w="204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Third-party</w:t>
            </w:r>
          </w:p>
        </w:tc>
        <w:tc>
          <w:tcPr>
            <w:tcW w:type="dxa" w:w="204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Does not automatically override client</w:t>
            </w:r>
          </w:p>
        </w:tc>
      </w:tr>
      <w:tr>
        <w:tc>
          <w:tcPr>
            <w:tcW w:type="dxa" w:w="204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S4</w:t>
            </w:r>
          </w:p>
        </w:tc>
        <w:tc>
          <w:tcPr>
            <w:tcW w:type="dxa" w:w="204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Inspiration references</w:t>
            </w:r>
          </w:p>
        </w:tc>
        <w:tc>
          <w:tcPr>
            <w:tcW w:type="dxa" w:w="204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Client</w:t>
            </w:r>
          </w:p>
        </w:tc>
        <w:tc>
          <w:tcPr>
            <w:tcW w:type="dxa" w:w="204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Design-direction reference</w:t>
            </w:r>
          </w:p>
        </w:tc>
        <w:tc>
          <w:tcPr>
            <w:tcW w:type="dxa" w:w="204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Direction only; not final design authorization</w:t>
            </w:r>
          </w:p>
        </w:tc>
      </w:tr>
      <w:tr>
        <w:tc>
          <w:tcPr>
            <w:tcW w:type="dxa" w:w="204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S5</w:t>
            </w:r>
          </w:p>
        </w:tc>
        <w:tc>
          <w:tcPr>
            <w:tcW w:type="dxa" w:w="204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Planner note</w:t>
            </w:r>
          </w:p>
        </w:tc>
        <w:tc>
          <w:tcPr>
            <w:tcW w:type="dxa" w:w="204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Planner</w:t>
            </w:r>
          </w:p>
        </w:tc>
        <w:tc>
          <w:tcPr>
            <w:tcW w:type="dxa" w:w="204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Internal note</w:t>
            </w:r>
          </w:p>
        </w:tc>
        <w:tc>
          <w:tcPr>
            <w:tcW w:type="dxa" w:w="204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Speculative venue; not verified</w:t>
            </w:r>
          </w:p>
        </w:tc>
      </w:tr>
    </w:tbl>
    <w:p>
      <w:pPr>
        <w:pStyle w:val="Heading1"/>
      </w:pPr>
      <w:r>
        <w:t>Practice reminder</w:t>
      </w:r>
    </w:p>
    <w:p>
      <w:pPr>
        <w:pStyle w:val="ListBullet"/>
        <w:spacing w:after="40"/>
      </w:pPr>
      <w:r>
        <w:t>Do not automatically replace 40 guests with the third-party 60-person message.</w:t>
      </w:r>
    </w:p>
    <w:p>
      <w:pPr>
        <w:pStyle w:val="ListBullet"/>
        <w:spacing w:after="40"/>
      </w:pPr>
      <w:r>
        <w:t>Do not convert “2k maybe” into a fixed budget ceiling.</w:t>
      </w:r>
    </w:p>
    <w:p>
      <w:pPr>
        <w:pStyle w:val="ListBullet"/>
        <w:spacing w:after="40"/>
      </w:pPr>
      <w:r>
        <w:t>Do not infer what “setup at 1” means.</w:t>
      </w:r>
    </w:p>
    <w:p>
      <w:pPr>
        <w:pStyle w:val="ListBullet"/>
        <w:spacing w:after="40"/>
      </w:pPr>
      <w:r>
        <w:t>Do not treat the planner note as proof that the venue is booked.</w:t>
      </w:r>
    </w:p>
    <w:p>
      <w:pPr>
        <w:pStyle w:val="ListBullet"/>
        <w:spacing w:after="40"/>
      </w:pPr>
      <w:r>
        <w:t>Do not treat inspiration references as final approved design instructions.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color w:val="5B6570"/>
        <w:sz w:val="16"/>
      </w:rPr>
      <w:t xml:space="preserve">AI Skills for Real Business | Client-to-Party-Plan | Page </w:t>
    </w:r>
    <w:r>
      <w:rPr>
        <w:color w:val="5B6570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 Display" w:hAnsi="Aptos Display" w:eastAsia="Aptos Display"/>
      <w:b/>
      <w:bCs/>
      <w:color w:val="17364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" w:hAnsi="Aptos" w:eastAsia="Aptos"/>
      <w:b/>
      <w:bCs/>
      <w:color w:val="2F6F73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 w:eastAsia="Aptos"/>
      <w:b/>
      <w:bCs/>
      <w:color w:val="17364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Aptos Display" w:hAnsi="Aptos Display" w:eastAsia="Aptos Display"/>
      <w:b/>
      <w:color w:val="17364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allout">
    <w:name w:val="Callout"/>
    <w:pPr>
      <w:spacing w:before="100" w:after="100"/>
    </w:pPr>
    <w:rPr>
      <w:rFonts w:ascii="Aptos" w:hAnsi="Aptos"/>
      <w:b/>
      <w:color w:val="2F6F73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